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53C3C" w14:textId="20EB2826" w:rsidR="0003672E" w:rsidRPr="00CD6E73" w:rsidRDefault="000F785E" w:rsidP="00C63830">
      <w:pPr>
        <w:spacing w:after="0"/>
        <w:jc w:val="center"/>
        <w:rPr>
          <w:rFonts w:ascii="Calibri" w:hAnsi="Calibri" w:cs="Calibri"/>
        </w:rPr>
      </w:pPr>
      <w:r w:rsidRPr="00CD6E73">
        <w:rPr>
          <w:rFonts w:ascii="Calibri" w:hAnsi="Calibri" w:cs="Calibri"/>
          <w:b/>
          <w:bCs/>
          <w:sz w:val="32"/>
          <w:szCs w:val="32"/>
        </w:rPr>
        <w:t>Joint Statement by UN Special Procedure</w:t>
      </w:r>
      <w:r w:rsidR="00CD6E73">
        <w:rPr>
          <w:rFonts w:ascii="Calibri" w:hAnsi="Calibri" w:cs="Calibri"/>
          <w:b/>
          <w:bCs/>
          <w:sz w:val="32"/>
          <w:szCs w:val="32"/>
        </w:rPr>
        <w:t>s</w:t>
      </w:r>
      <w:r w:rsidRPr="00CD6E73">
        <w:rPr>
          <w:rFonts w:ascii="Calibri" w:hAnsi="Calibri" w:cs="Calibri"/>
          <w:b/>
          <w:bCs/>
          <w:sz w:val="32"/>
          <w:szCs w:val="32"/>
        </w:rPr>
        <w:t xml:space="preserve"> Mandate Holders</w:t>
      </w:r>
      <w:r w:rsidRPr="00CD6E73">
        <w:rPr>
          <w:rFonts w:ascii="Calibri" w:hAnsi="Calibri" w:cs="Calibri"/>
          <w:sz w:val="32"/>
          <w:szCs w:val="32"/>
        </w:rPr>
        <w:br/>
      </w:r>
      <w:r w:rsidRPr="00CD6E73">
        <w:rPr>
          <w:rFonts w:ascii="Calibri" w:hAnsi="Calibri" w:cs="Calibri"/>
          <w:i/>
          <w:iCs/>
        </w:rPr>
        <w:t>Reaffirming the Centrality of Gender as a Tool for Advancing Equality and All Human Rights</w:t>
      </w:r>
    </w:p>
    <w:p w14:paraId="4DC79BEE" w14:textId="77777777" w:rsidR="00B07449" w:rsidRPr="00CD6E73" w:rsidRDefault="00B07449" w:rsidP="00B07449">
      <w:pPr>
        <w:spacing w:after="0"/>
        <w:rPr>
          <w:rFonts w:ascii="Calibri" w:hAnsi="Calibri" w:cs="Calibri"/>
        </w:rPr>
      </w:pPr>
    </w:p>
    <w:p w14:paraId="46A53C3D" w14:textId="4F4B3C5D" w:rsidR="0003672E" w:rsidRPr="00CD6E73" w:rsidRDefault="000F785E" w:rsidP="00794E58">
      <w:pPr>
        <w:spacing w:after="0"/>
        <w:rPr>
          <w:rFonts w:ascii="Calibri" w:hAnsi="Calibri" w:cs="Calibri"/>
        </w:rPr>
      </w:pPr>
      <w:r w:rsidRPr="00CD6E73">
        <w:rPr>
          <w:rFonts w:ascii="Calibri" w:hAnsi="Calibri" w:cs="Calibri"/>
        </w:rPr>
        <w:t xml:space="preserve">Today, </w:t>
      </w:r>
      <w:r w:rsidR="00872628" w:rsidRPr="00CD6E73">
        <w:rPr>
          <w:rFonts w:ascii="Calibri" w:hAnsi="Calibri" w:cs="Calibri"/>
        </w:rPr>
        <w:t>4</w:t>
      </w:r>
      <w:r w:rsidR="00C63830" w:rsidRPr="00CD6E73">
        <w:rPr>
          <w:rFonts w:ascii="Calibri" w:hAnsi="Calibri" w:cs="Calibri"/>
        </w:rPr>
        <w:t>5</w:t>
      </w:r>
      <w:r w:rsidRPr="00CD6E73">
        <w:rPr>
          <w:rFonts w:ascii="Calibri" w:hAnsi="Calibri" w:cs="Calibri"/>
        </w:rPr>
        <w:t xml:space="preserve"> United Nations special procedure mandate holders reaffirm gender equality as a cornerstone of human rights and substantive equality. “As </w:t>
      </w:r>
      <w:r w:rsidR="00951ED3" w:rsidRPr="00CD6E73">
        <w:rPr>
          <w:rFonts w:ascii="Calibri" w:hAnsi="Calibri" w:cs="Calibri"/>
        </w:rPr>
        <w:t xml:space="preserve">feminist and women’s rights </w:t>
      </w:r>
      <w:r w:rsidRPr="00CD6E73">
        <w:rPr>
          <w:rFonts w:ascii="Calibri" w:hAnsi="Calibri" w:cs="Calibri"/>
        </w:rPr>
        <w:t xml:space="preserve">movements and international human rights standards have long affirmed, biology is not destiny.” Gender-based discrimination must be addressed alongside sex-based discrimination. While </w:t>
      </w:r>
      <w:r w:rsidR="007C37EA" w:rsidRPr="00CD6E73">
        <w:rPr>
          <w:rFonts w:ascii="Calibri" w:hAnsi="Calibri" w:cs="Calibri"/>
        </w:rPr>
        <w:t>“</w:t>
      </w:r>
      <w:r w:rsidRPr="00CD6E73">
        <w:rPr>
          <w:rFonts w:ascii="Calibri" w:hAnsi="Calibri" w:cs="Calibri"/>
        </w:rPr>
        <w:t>sex</w:t>
      </w:r>
      <w:r w:rsidR="007C37EA" w:rsidRPr="00CD6E73">
        <w:rPr>
          <w:rFonts w:ascii="Calibri" w:hAnsi="Calibri" w:cs="Calibri"/>
        </w:rPr>
        <w:t>”</w:t>
      </w:r>
      <w:r w:rsidRPr="00CD6E73">
        <w:rPr>
          <w:rFonts w:ascii="Calibri" w:hAnsi="Calibri" w:cs="Calibri"/>
        </w:rPr>
        <w:t xml:space="preserve"> refers to biological </w:t>
      </w:r>
      <w:r w:rsidR="00D25AF0" w:rsidRPr="00CD6E73">
        <w:rPr>
          <w:rFonts w:ascii="Calibri" w:hAnsi="Calibri" w:cs="Calibri"/>
        </w:rPr>
        <w:t>characteristics</w:t>
      </w:r>
      <w:r w:rsidRPr="00CD6E73">
        <w:rPr>
          <w:rFonts w:ascii="Calibri" w:hAnsi="Calibri" w:cs="Calibri"/>
        </w:rPr>
        <w:t xml:space="preserve">, ‘gender’ </w:t>
      </w:r>
      <w:r w:rsidR="00D25AF0" w:rsidRPr="00CD6E73">
        <w:rPr>
          <w:rFonts w:ascii="Calibri" w:hAnsi="Calibri" w:cs="Calibri"/>
        </w:rPr>
        <w:t xml:space="preserve">provides the </w:t>
      </w:r>
      <w:r w:rsidR="00AF2EC9" w:rsidRPr="00CD6E73">
        <w:rPr>
          <w:rFonts w:ascii="Calibri" w:hAnsi="Calibri" w:cs="Calibri"/>
        </w:rPr>
        <w:t xml:space="preserve">broader and more salient analytical lens, </w:t>
      </w:r>
      <w:r w:rsidRPr="00CD6E73">
        <w:rPr>
          <w:rFonts w:ascii="Calibri" w:hAnsi="Calibri" w:cs="Calibri"/>
        </w:rPr>
        <w:t>encompass</w:t>
      </w:r>
      <w:r w:rsidR="00AF2EC9" w:rsidRPr="00CD6E73">
        <w:rPr>
          <w:rFonts w:ascii="Calibri" w:hAnsi="Calibri" w:cs="Calibri"/>
        </w:rPr>
        <w:t>ing</w:t>
      </w:r>
      <w:r w:rsidRPr="00CD6E73">
        <w:rPr>
          <w:rFonts w:ascii="Calibri" w:hAnsi="Calibri" w:cs="Calibri"/>
        </w:rPr>
        <w:t xml:space="preserve"> the socially constructed identities, roles, and expectations </w:t>
      </w:r>
      <w:r w:rsidR="00305660" w:rsidRPr="00CD6E73">
        <w:rPr>
          <w:rFonts w:ascii="Calibri" w:hAnsi="Calibri" w:cs="Calibri"/>
        </w:rPr>
        <w:t>that shape</w:t>
      </w:r>
      <w:r w:rsidRPr="00CD6E73">
        <w:rPr>
          <w:rFonts w:ascii="Calibri" w:hAnsi="Calibri" w:cs="Calibri"/>
        </w:rPr>
        <w:t xml:space="preserve"> individuals</w:t>
      </w:r>
      <w:r w:rsidR="00305660" w:rsidRPr="00CD6E73">
        <w:rPr>
          <w:rFonts w:ascii="Calibri" w:hAnsi="Calibri" w:cs="Calibri"/>
        </w:rPr>
        <w:t>’ lives</w:t>
      </w:r>
      <w:r w:rsidRPr="00CD6E73">
        <w:rPr>
          <w:rFonts w:ascii="Calibri" w:hAnsi="Calibri" w:cs="Calibri"/>
        </w:rPr>
        <w:t xml:space="preserve">. These </w:t>
      </w:r>
      <w:r w:rsidR="00305660" w:rsidRPr="00CD6E73">
        <w:rPr>
          <w:rFonts w:ascii="Calibri" w:hAnsi="Calibri" w:cs="Calibri"/>
        </w:rPr>
        <w:t xml:space="preserve">dynamics </w:t>
      </w:r>
      <w:r w:rsidRPr="00CD6E73">
        <w:rPr>
          <w:rFonts w:ascii="Calibri" w:hAnsi="Calibri" w:cs="Calibri"/>
        </w:rPr>
        <w:t xml:space="preserve">reinforce </w:t>
      </w:r>
      <w:r w:rsidR="002B6D66" w:rsidRPr="00CD6E73">
        <w:rPr>
          <w:rFonts w:ascii="Calibri" w:hAnsi="Calibri" w:cs="Calibri"/>
        </w:rPr>
        <w:t xml:space="preserve">hierarchies of </w:t>
      </w:r>
      <w:r w:rsidRPr="00CD6E73">
        <w:rPr>
          <w:rFonts w:ascii="Calibri" w:hAnsi="Calibri" w:cs="Calibri"/>
        </w:rPr>
        <w:t>power</w:t>
      </w:r>
      <w:r w:rsidR="0034586F" w:rsidRPr="00CD6E73">
        <w:rPr>
          <w:rFonts w:ascii="Calibri" w:hAnsi="Calibri" w:cs="Calibri"/>
        </w:rPr>
        <w:t xml:space="preserve"> </w:t>
      </w:r>
      <w:r w:rsidRPr="00CD6E73">
        <w:rPr>
          <w:rFonts w:ascii="Calibri" w:hAnsi="Calibri" w:cs="Calibri"/>
        </w:rPr>
        <w:t>and often produce or sustain disadvantage</w:t>
      </w:r>
      <w:r w:rsidR="00741AAF" w:rsidRPr="00CD6E73">
        <w:rPr>
          <w:rFonts w:ascii="Calibri" w:hAnsi="Calibri" w:cs="Calibri"/>
        </w:rPr>
        <w:t xml:space="preserve"> for women in all their diversity</w:t>
      </w:r>
      <w:r w:rsidRPr="00CD6E73">
        <w:rPr>
          <w:rFonts w:ascii="Calibri" w:hAnsi="Calibri" w:cs="Calibri"/>
        </w:rPr>
        <w:t xml:space="preserve">. </w:t>
      </w:r>
    </w:p>
    <w:p w14:paraId="08F7DE5C" w14:textId="77777777" w:rsidR="007C37EA" w:rsidRPr="00CD6E73" w:rsidRDefault="007C37EA" w:rsidP="00B07449">
      <w:pPr>
        <w:spacing w:after="0"/>
        <w:rPr>
          <w:rFonts w:ascii="Calibri" w:hAnsi="Calibri" w:cs="Calibri"/>
        </w:rPr>
      </w:pPr>
    </w:p>
    <w:p w14:paraId="46A53C3E" w14:textId="1195C576" w:rsidR="0003672E" w:rsidRPr="00CD6E73" w:rsidRDefault="000F785E" w:rsidP="00B07449">
      <w:pPr>
        <w:spacing w:after="0"/>
        <w:rPr>
          <w:rFonts w:ascii="Calibri" w:hAnsi="Calibri" w:cs="Calibri"/>
        </w:rPr>
      </w:pPr>
      <w:r w:rsidRPr="00CD6E73">
        <w:rPr>
          <w:rFonts w:ascii="Calibri" w:hAnsi="Calibri" w:cs="Calibri"/>
        </w:rPr>
        <w:t xml:space="preserve">Conceptions of womanhood are thus not </w:t>
      </w:r>
      <w:r w:rsidR="00584568" w:rsidRPr="00CD6E73">
        <w:rPr>
          <w:rFonts w:ascii="Calibri" w:hAnsi="Calibri" w:cs="Calibri"/>
        </w:rPr>
        <w:t>modeled</w:t>
      </w:r>
      <w:r w:rsidRPr="00CD6E73">
        <w:rPr>
          <w:rFonts w:ascii="Calibri" w:hAnsi="Calibri" w:cs="Calibri"/>
        </w:rPr>
        <w:t xml:space="preserve"> by biology alone, but through processes of socialization</w:t>
      </w:r>
      <w:r w:rsidR="00F705D8" w:rsidRPr="00CD6E73">
        <w:rPr>
          <w:rFonts w:ascii="Calibri" w:hAnsi="Calibri" w:cs="Calibri"/>
        </w:rPr>
        <w:t xml:space="preserve"> (including through educational systems)</w:t>
      </w:r>
      <w:r w:rsidRPr="00CD6E73">
        <w:rPr>
          <w:rFonts w:ascii="Calibri" w:hAnsi="Calibri" w:cs="Calibri"/>
        </w:rPr>
        <w:t xml:space="preserve">, intersecting forms of discrimination, the enforcement of gender norms, and change over time. These </w:t>
      </w:r>
      <w:r w:rsidR="00584568" w:rsidRPr="00CD6E73">
        <w:rPr>
          <w:rFonts w:ascii="Calibri" w:hAnsi="Calibri" w:cs="Calibri"/>
        </w:rPr>
        <w:t>interactions</w:t>
      </w:r>
      <w:r w:rsidRPr="00CD6E73">
        <w:rPr>
          <w:rFonts w:ascii="Calibri" w:hAnsi="Calibri" w:cs="Calibri"/>
        </w:rPr>
        <w:t xml:space="preserve"> frequently lead to the denial of rights for women and girls. Legal and policy frameworks that do not take this reality into account, or that impose rigid divisions between sex and gender, are limited in their ability to meaningfully address structural inequality or ensure the full realization of women’s and girls</w:t>
      </w:r>
      <w:r w:rsidR="004A6BF5" w:rsidRPr="00CD6E73">
        <w:rPr>
          <w:rFonts w:ascii="Calibri" w:hAnsi="Calibri" w:cs="Calibri"/>
        </w:rPr>
        <w:t>’</w:t>
      </w:r>
      <w:r w:rsidRPr="00CD6E73">
        <w:rPr>
          <w:rFonts w:ascii="Calibri" w:hAnsi="Calibri" w:cs="Calibri"/>
        </w:rPr>
        <w:t xml:space="preserve"> universal human rights.</w:t>
      </w:r>
    </w:p>
    <w:p w14:paraId="54A26EA7" w14:textId="77777777" w:rsidR="007C37EA" w:rsidRPr="00CD6E73" w:rsidRDefault="007C37EA" w:rsidP="00B07449">
      <w:pPr>
        <w:spacing w:after="0"/>
        <w:rPr>
          <w:rFonts w:ascii="Calibri" w:hAnsi="Calibri" w:cs="Calibri"/>
        </w:rPr>
      </w:pPr>
    </w:p>
    <w:p w14:paraId="46A53C3F" w14:textId="05AE5E9D" w:rsidR="0003672E" w:rsidRPr="00CD6E73" w:rsidRDefault="000F785E" w:rsidP="00B07449">
      <w:pPr>
        <w:spacing w:after="0"/>
        <w:rPr>
          <w:rFonts w:ascii="Calibri" w:hAnsi="Calibri" w:cs="Calibri"/>
        </w:rPr>
      </w:pPr>
      <w:r w:rsidRPr="00CD6E73">
        <w:rPr>
          <w:rFonts w:ascii="Calibri" w:hAnsi="Calibri" w:cs="Calibri"/>
        </w:rPr>
        <w:t xml:space="preserve">The experts expressed deep concern about efforts of some States and other actors to </w:t>
      </w:r>
      <w:r w:rsidR="00884912" w:rsidRPr="00CD6E73">
        <w:rPr>
          <w:rFonts w:ascii="Calibri" w:hAnsi="Calibri" w:cs="Calibri"/>
        </w:rPr>
        <w:t xml:space="preserve">negate the </w:t>
      </w:r>
      <w:r w:rsidR="00E62F85" w:rsidRPr="00CD6E73">
        <w:rPr>
          <w:rFonts w:ascii="Calibri" w:hAnsi="Calibri" w:cs="Calibri"/>
        </w:rPr>
        <w:t xml:space="preserve">relevance of gender, </w:t>
      </w:r>
      <w:r w:rsidRPr="00CD6E73">
        <w:rPr>
          <w:rFonts w:ascii="Calibri" w:hAnsi="Calibri" w:cs="Calibri"/>
        </w:rPr>
        <w:t xml:space="preserve">reasserting fixed, binary conceptions of sex that </w:t>
      </w:r>
      <w:r w:rsidR="003816DB" w:rsidRPr="00CD6E73">
        <w:rPr>
          <w:rFonts w:ascii="Calibri" w:hAnsi="Calibri" w:cs="Calibri"/>
        </w:rPr>
        <w:t>disregard</w:t>
      </w:r>
      <w:r w:rsidR="0034586F" w:rsidRPr="00CD6E73">
        <w:rPr>
          <w:rFonts w:ascii="Calibri" w:hAnsi="Calibri" w:cs="Calibri"/>
        </w:rPr>
        <w:t xml:space="preserve"> </w:t>
      </w:r>
      <w:r w:rsidR="00830269" w:rsidRPr="00CD6E73">
        <w:rPr>
          <w:rFonts w:ascii="Calibri" w:hAnsi="Calibri" w:cs="Calibri"/>
        </w:rPr>
        <w:t xml:space="preserve">the </w:t>
      </w:r>
      <w:r w:rsidRPr="00CD6E73">
        <w:rPr>
          <w:rFonts w:ascii="Calibri" w:hAnsi="Calibri" w:cs="Calibri"/>
        </w:rPr>
        <w:t>social and cultural factors</w:t>
      </w:r>
      <w:r w:rsidR="00474C3C" w:rsidRPr="00CD6E73">
        <w:rPr>
          <w:rFonts w:ascii="Calibri" w:hAnsi="Calibri" w:cs="Calibri"/>
        </w:rPr>
        <w:t xml:space="preserve"> that shape identity and lived experience</w:t>
      </w:r>
      <w:r w:rsidR="002A5C69" w:rsidRPr="00CD6E73">
        <w:rPr>
          <w:rFonts w:ascii="Calibri" w:hAnsi="Calibri" w:cs="Calibri"/>
        </w:rPr>
        <w:t>.</w:t>
      </w:r>
      <w:r w:rsidR="0034586F" w:rsidRPr="00CD6E73">
        <w:rPr>
          <w:rFonts w:ascii="Calibri" w:hAnsi="Calibri" w:cs="Calibri"/>
        </w:rPr>
        <w:t xml:space="preserve"> </w:t>
      </w:r>
      <w:r w:rsidRPr="00CD6E73">
        <w:rPr>
          <w:rFonts w:ascii="Calibri" w:hAnsi="Calibri" w:cs="Calibri"/>
        </w:rPr>
        <w:t xml:space="preserve">“Such approaches fail to reflect the diversity of women’s </w:t>
      </w:r>
      <w:r w:rsidR="004A6BF5" w:rsidRPr="00CD6E73">
        <w:rPr>
          <w:rFonts w:ascii="Calibri" w:hAnsi="Calibri" w:cs="Calibri"/>
        </w:rPr>
        <w:t xml:space="preserve">and girls’ </w:t>
      </w:r>
      <w:r w:rsidRPr="00CD6E73">
        <w:rPr>
          <w:rFonts w:ascii="Calibri" w:hAnsi="Calibri" w:cs="Calibri"/>
        </w:rPr>
        <w:t>lived experiences and disregard the realities of persons who face discrimination based on sexual orientation, gender identity, or gender expression. They are often rooted in misinformation that reinforces harmful gender stereotypes, invokes misguided forms of ‘protectionism,’ and departs from evidence-based strategies essential to achieving gender equality and protecting the rights of all women and girls.”</w:t>
      </w:r>
    </w:p>
    <w:p w14:paraId="5CA86B72" w14:textId="77777777" w:rsidR="007C37EA" w:rsidRPr="00CD6E73" w:rsidRDefault="007C37EA" w:rsidP="00B07449">
      <w:pPr>
        <w:spacing w:after="0"/>
        <w:rPr>
          <w:rFonts w:ascii="Calibri" w:hAnsi="Calibri" w:cs="Calibri"/>
        </w:rPr>
      </w:pPr>
    </w:p>
    <w:p w14:paraId="46A53C40" w14:textId="3EE30D77" w:rsidR="0003672E" w:rsidRPr="00CD6E73" w:rsidRDefault="000F785E" w:rsidP="00B07449">
      <w:pPr>
        <w:spacing w:after="0"/>
        <w:rPr>
          <w:rFonts w:ascii="Calibri" w:hAnsi="Calibri" w:cs="Calibri"/>
        </w:rPr>
      </w:pPr>
      <w:r w:rsidRPr="00CD6E73">
        <w:rPr>
          <w:rFonts w:ascii="Calibri" w:hAnsi="Calibri" w:cs="Calibri"/>
        </w:rPr>
        <w:t>They emphasized the importance of ensuring that gender and gender-based discrimination and violence remain at the core of international human rights law.</w:t>
      </w:r>
      <w:r w:rsidR="0034586F" w:rsidRPr="00CD6E73">
        <w:rPr>
          <w:rFonts w:ascii="Calibri" w:hAnsi="Calibri" w:cs="Calibri"/>
        </w:rPr>
        <w:t xml:space="preserve"> </w:t>
      </w:r>
      <w:r w:rsidRPr="00CD6E73">
        <w:rPr>
          <w:rFonts w:ascii="Calibri" w:hAnsi="Calibri" w:cs="Calibri"/>
        </w:rPr>
        <w:t xml:space="preserve">“This is not only because the prohibition of gender-based violence is recognized as a principle of customary international law, but because gender is a vital analytical lens </w:t>
      </w:r>
      <w:r w:rsidR="007C76E2" w:rsidRPr="00CD6E73">
        <w:rPr>
          <w:rFonts w:ascii="Calibri" w:hAnsi="Calibri" w:cs="Calibri"/>
        </w:rPr>
        <w:t>–</w:t>
      </w:r>
      <w:r w:rsidRPr="00CD6E73">
        <w:rPr>
          <w:rFonts w:ascii="Calibri" w:hAnsi="Calibri" w:cs="Calibri"/>
        </w:rPr>
        <w:t xml:space="preserve"> essential for exposing the power disparities, structural inequalities, and discriminatory practices embedded in laws, institutions, and social norms. </w:t>
      </w:r>
      <w:r w:rsidR="00A00EC7" w:rsidRPr="00CD6E73">
        <w:rPr>
          <w:rFonts w:ascii="Calibri" w:hAnsi="Calibri" w:cs="Calibri"/>
        </w:rPr>
        <w:t xml:space="preserve">This </w:t>
      </w:r>
      <w:r w:rsidR="0027541B" w:rsidRPr="00CD6E73">
        <w:rPr>
          <w:rFonts w:ascii="Calibri" w:hAnsi="Calibri" w:cs="Calibri"/>
        </w:rPr>
        <w:t>lens</w:t>
      </w:r>
      <w:r w:rsidR="00A00EC7" w:rsidRPr="00CD6E73">
        <w:rPr>
          <w:rFonts w:ascii="Calibri" w:hAnsi="Calibri" w:cs="Calibri"/>
        </w:rPr>
        <w:t xml:space="preserve"> acknowledges biological differences while also drawing attention to how gender roles are constructed, enforced, and experienced.</w:t>
      </w:r>
      <w:r w:rsidR="0027541B" w:rsidRPr="00CD6E73">
        <w:rPr>
          <w:rFonts w:ascii="Calibri" w:hAnsi="Calibri" w:cs="Calibri"/>
        </w:rPr>
        <w:t xml:space="preserve"> </w:t>
      </w:r>
      <w:r w:rsidRPr="00CD6E73">
        <w:rPr>
          <w:rFonts w:ascii="Calibri" w:hAnsi="Calibri" w:cs="Calibri"/>
        </w:rPr>
        <w:t xml:space="preserve">Without this perspective, the systemic </w:t>
      </w:r>
      <w:r w:rsidRPr="00CD6E73">
        <w:rPr>
          <w:rFonts w:ascii="Calibri" w:hAnsi="Calibri" w:cs="Calibri"/>
        </w:rPr>
        <w:lastRenderedPageBreak/>
        <w:t>exclusion of women and gender-diverse persons</w:t>
      </w:r>
      <w:r w:rsidR="007C76E2" w:rsidRPr="00CD6E73">
        <w:rPr>
          <w:rFonts w:ascii="Calibri" w:hAnsi="Calibri" w:cs="Calibri"/>
        </w:rPr>
        <w:t xml:space="preserve"> – </w:t>
      </w:r>
      <w:r w:rsidRPr="00CD6E73">
        <w:rPr>
          <w:rFonts w:ascii="Calibri" w:hAnsi="Calibri" w:cs="Calibri"/>
        </w:rPr>
        <w:t xml:space="preserve">particularly those whose identities and expressions fall outside dominant </w:t>
      </w:r>
      <w:r w:rsidR="002D1329" w:rsidRPr="00CD6E73">
        <w:rPr>
          <w:rFonts w:ascii="Calibri" w:hAnsi="Calibri" w:cs="Calibri"/>
        </w:rPr>
        <w:t xml:space="preserve">binary </w:t>
      </w:r>
      <w:r w:rsidRPr="00CD6E73">
        <w:rPr>
          <w:rFonts w:ascii="Calibri" w:hAnsi="Calibri" w:cs="Calibri"/>
        </w:rPr>
        <w:t>norms</w:t>
      </w:r>
      <w:r w:rsidR="007C76E2" w:rsidRPr="00CD6E73">
        <w:rPr>
          <w:rFonts w:ascii="Calibri" w:hAnsi="Calibri" w:cs="Calibri"/>
        </w:rPr>
        <w:t xml:space="preserve"> – </w:t>
      </w:r>
      <w:r w:rsidRPr="00CD6E73">
        <w:rPr>
          <w:rFonts w:ascii="Calibri" w:hAnsi="Calibri" w:cs="Calibri"/>
        </w:rPr>
        <w:t>remains invisible.”</w:t>
      </w:r>
    </w:p>
    <w:p w14:paraId="1966A3FF" w14:textId="77777777" w:rsidR="007C37EA" w:rsidRPr="00CD6E73" w:rsidRDefault="007C37EA" w:rsidP="00B07449">
      <w:pPr>
        <w:spacing w:after="0"/>
        <w:rPr>
          <w:rFonts w:ascii="Calibri" w:hAnsi="Calibri" w:cs="Calibri"/>
        </w:rPr>
      </w:pPr>
    </w:p>
    <w:p w14:paraId="46A53C41" w14:textId="48B7794B" w:rsidR="0003672E" w:rsidRPr="00CD6E73" w:rsidRDefault="000F785E" w:rsidP="00B07449">
      <w:pPr>
        <w:spacing w:after="0"/>
        <w:rPr>
          <w:rFonts w:ascii="Calibri" w:hAnsi="Calibri" w:cs="Calibri"/>
        </w:rPr>
      </w:pPr>
      <w:r w:rsidRPr="00CD6E73">
        <w:rPr>
          <w:rFonts w:ascii="Calibri" w:hAnsi="Calibri" w:cs="Calibri"/>
        </w:rPr>
        <w:t>The</w:t>
      </w:r>
      <w:r w:rsidR="003802F3" w:rsidRPr="00CD6E73">
        <w:rPr>
          <w:rFonts w:ascii="Calibri" w:hAnsi="Calibri" w:cs="Calibri"/>
        </w:rPr>
        <w:t xml:space="preserve"> experts</w:t>
      </w:r>
      <w:r w:rsidRPr="00CD6E73">
        <w:rPr>
          <w:rFonts w:ascii="Calibri" w:hAnsi="Calibri" w:cs="Calibri"/>
        </w:rPr>
        <w:t xml:space="preserve"> further highlighted that without a gender perspective, it is impossible to fully grasp how roles, expectations, and hierarchies </w:t>
      </w:r>
      <w:r w:rsidR="00776BC8" w:rsidRPr="00CD6E73">
        <w:rPr>
          <w:rFonts w:ascii="Calibri" w:hAnsi="Calibri" w:cs="Calibri"/>
        </w:rPr>
        <w:t xml:space="preserve">manifest </w:t>
      </w:r>
      <w:r w:rsidRPr="00CD6E73">
        <w:rPr>
          <w:rFonts w:ascii="Calibri" w:hAnsi="Calibri" w:cs="Calibri"/>
        </w:rPr>
        <w:t xml:space="preserve">in education, health, culture, </w:t>
      </w:r>
      <w:r w:rsidR="008266B7" w:rsidRPr="00CD6E73">
        <w:rPr>
          <w:rFonts w:ascii="Calibri" w:hAnsi="Calibri" w:cs="Calibri"/>
        </w:rPr>
        <w:t xml:space="preserve">at </w:t>
      </w:r>
      <w:r w:rsidRPr="00CD6E73">
        <w:rPr>
          <w:rFonts w:ascii="Calibri" w:hAnsi="Calibri" w:cs="Calibri"/>
        </w:rPr>
        <w:t>the</w:t>
      </w:r>
      <w:r w:rsidR="00D76698" w:rsidRPr="00CD6E73">
        <w:rPr>
          <w:rFonts w:ascii="Calibri" w:hAnsi="Calibri" w:cs="Calibri"/>
        </w:rPr>
        <w:t xml:space="preserve"> </w:t>
      </w:r>
      <w:r w:rsidRPr="00CD6E73">
        <w:rPr>
          <w:rFonts w:ascii="Calibri" w:hAnsi="Calibri" w:cs="Calibri"/>
        </w:rPr>
        <w:t>work</w:t>
      </w:r>
      <w:r w:rsidR="008266B7" w:rsidRPr="00CD6E73">
        <w:rPr>
          <w:rFonts w:ascii="Calibri" w:hAnsi="Calibri" w:cs="Calibri"/>
        </w:rPr>
        <w:t>place</w:t>
      </w:r>
      <w:r w:rsidR="009B6FE9" w:rsidRPr="00CD6E73">
        <w:rPr>
          <w:rFonts w:ascii="Calibri" w:hAnsi="Calibri" w:cs="Calibri"/>
        </w:rPr>
        <w:t xml:space="preserve"> or with respect to </w:t>
      </w:r>
      <w:r w:rsidRPr="00CD6E73">
        <w:rPr>
          <w:rFonts w:ascii="Calibri" w:hAnsi="Calibri" w:cs="Calibri"/>
        </w:rPr>
        <w:t>soci</w:t>
      </w:r>
      <w:r w:rsidR="007819C9" w:rsidRPr="00CD6E73">
        <w:rPr>
          <w:rFonts w:ascii="Calibri" w:hAnsi="Calibri" w:cs="Calibri"/>
        </w:rPr>
        <w:t xml:space="preserve">al, </w:t>
      </w:r>
      <w:r w:rsidRPr="00CD6E73">
        <w:rPr>
          <w:rFonts w:ascii="Calibri" w:hAnsi="Calibri" w:cs="Calibri"/>
        </w:rPr>
        <w:t xml:space="preserve">economic and political opportunities </w:t>
      </w:r>
      <w:r w:rsidR="0082434E" w:rsidRPr="00CD6E73">
        <w:rPr>
          <w:rFonts w:ascii="Calibri" w:hAnsi="Calibri" w:cs="Calibri"/>
        </w:rPr>
        <w:t>–</w:t>
      </w:r>
      <w:r w:rsidRPr="00CD6E73">
        <w:rPr>
          <w:rFonts w:ascii="Calibri" w:hAnsi="Calibri" w:cs="Calibri"/>
        </w:rPr>
        <w:t xml:space="preserve"> and how they affect human well-being. “By contrast, sex alone offers limited explanatory power in revealing the social and cultural dynamics that drive gender inequality.”</w:t>
      </w:r>
    </w:p>
    <w:p w14:paraId="648055EF" w14:textId="77777777" w:rsidR="007C37EA" w:rsidRPr="00CD6E73" w:rsidRDefault="007C37EA" w:rsidP="00B07449">
      <w:pPr>
        <w:spacing w:after="0"/>
        <w:rPr>
          <w:rFonts w:ascii="Calibri" w:hAnsi="Calibri" w:cs="Calibri"/>
        </w:rPr>
      </w:pPr>
    </w:p>
    <w:p w14:paraId="46A53C42" w14:textId="11AE3DAA" w:rsidR="0003672E" w:rsidRPr="00CD6E73" w:rsidRDefault="000F785E" w:rsidP="00B07449">
      <w:pPr>
        <w:spacing w:after="0"/>
        <w:rPr>
          <w:rFonts w:ascii="Calibri" w:hAnsi="Calibri" w:cs="Calibri"/>
        </w:rPr>
      </w:pPr>
      <w:r w:rsidRPr="00CD6E73">
        <w:rPr>
          <w:rFonts w:ascii="Calibri" w:hAnsi="Calibri" w:cs="Calibri"/>
        </w:rPr>
        <w:t xml:space="preserve">The experts explained that while biological sex – referring to physical and reproductive characteristics – has meaning, it cannot fully explain the patterns of marginalization that human rights mechanisms are designed to address. “It is gender, as a social construct shaped by history, culture, and context, that determines access to resources, opportunity, vulnerability to violence, and participation in public life. Gender reflects how societies choose to treat men, women, and gender-diverse people: whose needs are prioritized, what policies are adopted by States and private actors, and how power and resources are distributed. It also intersects with other forms of exclusion – such as race and ethnicity, </w:t>
      </w:r>
      <w:r w:rsidR="009E2222" w:rsidRPr="00CD6E73">
        <w:rPr>
          <w:rFonts w:ascii="Calibri" w:hAnsi="Calibri" w:cs="Calibri"/>
        </w:rPr>
        <w:t xml:space="preserve">caste, descent, </w:t>
      </w:r>
      <w:r w:rsidRPr="00CD6E73">
        <w:rPr>
          <w:rFonts w:ascii="Calibri" w:hAnsi="Calibri" w:cs="Calibri"/>
        </w:rPr>
        <w:t xml:space="preserve">disability, </w:t>
      </w:r>
      <w:r w:rsidR="00DB0B73" w:rsidRPr="00CD6E73">
        <w:rPr>
          <w:rFonts w:ascii="Calibri" w:hAnsi="Calibri" w:cs="Calibri"/>
        </w:rPr>
        <w:t>age, religion, migration status</w:t>
      </w:r>
      <w:r w:rsidR="0034586F" w:rsidRPr="00CD6E73">
        <w:rPr>
          <w:rFonts w:ascii="Calibri" w:hAnsi="Calibri" w:cs="Calibri"/>
        </w:rPr>
        <w:t>,</w:t>
      </w:r>
      <w:r w:rsidR="00DB0B73" w:rsidRPr="00CD6E73">
        <w:rPr>
          <w:rFonts w:ascii="Calibri" w:hAnsi="Calibri" w:cs="Calibri"/>
        </w:rPr>
        <w:t xml:space="preserve"> socio-economic status</w:t>
      </w:r>
      <w:r w:rsidR="007C76E2" w:rsidRPr="00CD6E73">
        <w:rPr>
          <w:rFonts w:ascii="Calibri" w:hAnsi="Calibri" w:cs="Calibri"/>
        </w:rPr>
        <w:t>,</w:t>
      </w:r>
      <w:r w:rsidR="00DB0B73" w:rsidRPr="00CD6E73">
        <w:rPr>
          <w:rFonts w:ascii="Calibri" w:hAnsi="Calibri" w:cs="Calibri"/>
        </w:rPr>
        <w:t xml:space="preserve"> and women affected by chronic and neglected tropical diseases </w:t>
      </w:r>
      <w:r w:rsidR="007C76E2" w:rsidRPr="00CD6E73">
        <w:rPr>
          <w:rFonts w:ascii="Calibri" w:hAnsi="Calibri" w:cs="Calibri"/>
        </w:rPr>
        <w:t xml:space="preserve">– </w:t>
      </w:r>
      <w:r w:rsidRPr="00CD6E73">
        <w:rPr>
          <w:rFonts w:ascii="Calibri" w:hAnsi="Calibri" w:cs="Calibri"/>
        </w:rPr>
        <w:t>shaping the extent to which rights are realized in practice.”</w:t>
      </w:r>
      <w:r w:rsidR="0034586F" w:rsidRPr="00CD6E73">
        <w:rPr>
          <w:rFonts w:ascii="Calibri" w:hAnsi="Calibri" w:cs="Calibri"/>
        </w:rPr>
        <w:t xml:space="preserve"> </w:t>
      </w:r>
    </w:p>
    <w:p w14:paraId="47ECE66C" w14:textId="77777777" w:rsidR="007C37EA" w:rsidRPr="00CD6E73" w:rsidRDefault="007C37EA" w:rsidP="00B07449">
      <w:pPr>
        <w:spacing w:after="0"/>
        <w:jc w:val="both"/>
        <w:rPr>
          <w:rFonts w:ascii="Calibri" w:hAnsi="Calibri" w:cs="Calibri"/>
        </w:rPr>
      </w:pPr>
    </w:p>
    <w:p w14:paraId="46A53C43" w14:textId="2A6D8DFD" w:rsidR="0003672E" w:rsidRPr="00CD6E73" w:rsidRDefault="000F785E" w:rsidP="00B07449">
      <w:pPr>
        <w:spacing w:after="0"/>
        <w:jc w:val="both"/>
        <w:rPr>
          <w:rFonts w:ascii="Calibri" w:hAnsi="Calibri" w:cs="Calibri"/>
          <w:lang w:val="en-GB"/>
        </w:rPr>
      </w:pPr>
      <w:r w:rsidRPr="00CD6E73">
        <w:rPr>
          <w:rFonts w:ascii="Calibri" w:hAnsi="Calibri" w:cs="Calibri"/>
        </w:rPr>
        <w:t>The experts underlined that numerous</w:t>
      </w:r>
      <w:r w:rsidRPr="00CD6E73">
        <w:rPr>
          <w:rFonts w:ascii="Calibri" w:hAnsi="Calibri" w:cs="Calibri"/>
          <w:lang w:val="en-GB"/>
        </w:rPr>
        <w:t xml:space="preserve"> bodies, including the CEDAW Committee, have clarified that what was originally framed as discrimination on the basis of “sex” in the Convention on the Elimination of All Forms of Discrimination against Women and other treaties is, in fact, gender discrimination, stemming from the sociopolitical treatment of biological differences rather than the differences themselves. This understanding has been </w:t>
      </w:r>
      <w:r w:rsidR="00490173" w:rsidRPr="00CD6E73">
        <w:rPr>
          <w:rFonts w:ascii="Calibri" w:hAnsi="Calibri" w:cs="Calibri"/>
          <w:lang w:val="en-GB"/>
        </w:rPr>
        <w:t xml:space="preserve">consistently </w:t>
      </w:r>
      <w:r w:rsidRPr="00CD6E73">
        <w:rPr>
          <w:rFonts w:ascii="Calibri" w:hAnsi="Calibri" w:cs="Calibri"/>
          <w:lang w:val="en-GB"/>
        </w:rPr>
        <w:t xml:space="preserve">reinforced by national and international courts and instruments </w:t>
      </w:r>
      <w:r w:rsidR="00F45CAF" w:rsidRPr="00CD6E73">
        <w:rPr>
          <w:rFonts w:ascii="Calibri" w:hAnsi="Calibri" w:cs="Calibri"/>
          <w:lang w:val="en-GB"/>
        </w:rPr>
        <w:t>across diverse</w:t>
      </w:r>
      <w:r w:rsidR="00A427CE" w:rsidRPr="00CD6E73">
        <w:rPr>
          <w:rFonts w:ascii="Calibri" w:hAnsi="Calibri" w:cs="Calibri"/>
          <w:lang w:val="en-GB"/>
        </w:rPr>
        <w:t xml:space="preserve"> </w:t>
      </w:r>
      <w:r w:rsidRPr="00CD6E73">
        <w:rPr>
          <w:rFonts w:ascii="Calibri" w:hAnsi="Calibri" w:cs="Calibri"/>
          <w:lang w:val="en-GB"/>
        </w:rPr>
        <w:t xml:space="preserve">regions and cultural contexts, </w:t>
      </w:r>
      <w:r w:rsidR="006774EE" w:rsidRPr="00CD6E73">
        <w:rPr>
          <w:rFonts w:ascii="Calibri" w:hAnsi="Calibri" w:cs="Calibri"/>
          <w:lang w:val="en-GB"/>
        </w:rPr>
        <w:t xml:space="preserve">and has been advanced </w:t>
      </w:r>
      <w:r w:rsidRPr="00CD6E73">
        <w:rPr>
          <w:rFonts w:ascii="Calibri" w:hAnsi="Calibri" w:cs="Calibri"/>
          <w:lang w:val="en-GB"/>
        </w:rPr>
        <w:t>by feminist</w:t>
      </w:r>
      <w:r w:rsidR="00582193" w:rsidRPr="00CD6E73">
        <w:rPr>
          <w:rFonts w:ascii="Calibri" w:hAnsi="Calibri" w:cs="Calibri"/>
          <w:lang w:val="en-GB"/>
        </w:rPr>
        <w:t xml:space="preserve">, </w:t>
      </w:r>
      <w:r w:rsidR="004C4DBB" w:rsidRPr="00CD6E73">
        <w:rPr>
          <w:rFonts w:ascii="Calibri" w:hAnsi="Calibri" w:cs="Calibri"/>
          <w:lang w:val="en-GB"/>
        </w:rPr>
        <w:t xml:space="preserve">women’s </w:t>
      </w:r>
      <w:r w:rsidR="00951ED3" w:rsidRPr="00CD6E73">
        <w:rPr>
          <w:rFonts w:ascii="Calibri" w:hAnsi="Calibri" w:cs="Calibri"/>
          <w:lang w:val="en-GB"/>
        </w:rPr>
        <w:t xml:space="preserve">rights </w:t>
      </w:r>
      <w:r w:rsidRPr="00CD6E73">
        <w:rPr>
          <w:rFonts w:ascii="Calibri" w:hAnsi="Calibri" w:cs="Calibri"/>
          <w:lang w:val="en-GB"/>
        </w:rPr>
        <w:t xml:space="preserve">and civil society movements </w:t>
      </w:r>
      <w:r w:rsidR="00A2777F" w:rsidRPr="00CD6E73">
        <w:rPr>
          <w:rFonts w:ascii="Calibri" w:hAnsi="Calibri" w:cs="Calibri"/>
          <w:lang w:val="en-GB"/>
        </w:rPr>
        <w:t xml:space="preserve">worldwide, even as it continues to be contested by some actors. </w:t>
      </w:r>
    </w:p>
    <w:p w14:paraId="3AC97C35" w14:textId="77777777" w:rsidR="007C37EA" w:rsidRPr="00CD6E73" w:rsidRDefault="007C37EA" w:rsidP="00B07449">
      <w:pPr>
        <w:spacing w:after="0"/>
        <w:jc w:val="both"/>
        <w:rPr>
          <w:rFonts w:ascii="Calibri" w:hAnsi="Calibri" w:cs="Calibri"/>
          <w:lang w:val="en-GB"/>
        </w:rPr>
      </w:pPr>
    </w:p>
    <w:p w14:paraId="46A53C44" w14:textId="3A972BED" w:rsidR="0003672E" w:rsidRPr="00CD6E73" w:rsidRDefault="000F785E" w:rsidP="00B07449">
      <w:pPr>
        <w:spacing w:after="0"/>
        <w:rPr>
          <w:rFonts w:ascii="Calibri" w:hAnsi="Calibri" w:cs="Calibri"/>
        </w:rPr>
      </w:pPr>
      <w:r w:rsidRPr="00CD6E73">
        <w:rPr>
          <w:rFonts w:ascii="Calibri" w:hAnsi="Calibri" w:cs="Calibri"/>
        </w:rPr>
        <w:t xml:space="preserve">Through its General Recommendations and jurisprudence, the CEDAW Committee has also made clear that discrimination on the basis of sexual orientation and gender identity constitutes a form of gender-based discrimination that States are called to address through targeted legal and policy measures. This interpretation aligns with the broader human rights framework, which recognizes the intersectional nature of inequality and the need for </w:t>
      </w:r>
      <w:r w:rsidR="00AA1A64" w:rsidRPr="00CD6E73">
        <w:rPr>
          <w:rFonts w:ascii="Calibri" w:hAnsi="Calibri" w:cs="Calibri"/>
        </w:rPr>
        <w:t xml:space="preserve">non-discriminatory, </w:t>
      </w:r>
      <w:r w:rsidRPr="00CD6E73">
        <w:rPr>
          <w:rFonts w:ascii="Calibri" w:hAnsi="Calibri" w:cs="Calibri"/>
        </w:rPr>
        <w:t>inclusive, rights-based protections.</w:t>
      </w:r>
    </w:p>
    <w:p w14:paraId="7345337C" w14:textId="77777777" w:rsidR="007C37EA" w:rsidRPr="00CD6E73" w:rsidRDefault="007C37EA" w:rsidP="00B07449">
      <w:pPr>
        <w:spacing w:after="0"/>
        <w:rPr>
          <w:rFonts w:ascii="Calibri" w:hAnsi="Calibri" w:cs="Calibri"/>
        </w:rPr>
      </w:pPr>
    </w:p>
    <w:p w14:paraId="46A53C45" w14:textId="131B16D6" w:rsidR="0003672E" w:rsidRPr="00CD6E73" w:rsidRDefault="000F785E" w:rsidP="00B07449">
      <w:pPr>
        <w:spacing w:after="0"/>
        <w:rPr>
          <w:rFonts w:ascii="Calibri" w:hAnsi="Calibri" w:cs="Calibri"/>
        </w:rPr>
      </w:pPr>
      <w:r w:rsidRPr="00CD6E73">
        <w:rPr>
          <w:rFonts w:ascii="Calibri" w:hAnsi="Calibri" w:cs="Calibri"/>
        </w:rPr>
        <w:t xml:space="preserve">The experts affirmed that fixed, binary definitions of sex </w:t>
      </w:r>
      <w:r w:rsidR="005809C6" w:rsidRPr="00CD6E73">
        <w:rPr>
          <w:rFonts w:ascii="Calibri" w:hAnsi="Calibri" w:cs="Calibri"/>
        </w:rPr>
        <w:t xml:space="preserve">alone </w:t>
      </w:r>
      <w:r w:rsidRPr="00CD6E73">
        <w:rPr>
          <w:rFonts w:ascii="Calibri" w:hAnsi="Calibri" w:cs="Calibri"/>
        </w:rPr>
        <w:t>risk reinforcing</w:t>
      </w:r>
      <w:r w:rsidR="007C76E2" w:rsidRPr="00CD6E73">
        <w:rPr>
          <w:rFonts w:ascii="Calibri" w:hAnsi="Calibri" w:cs="Calibri"/>
        </w:rPr>
        <w:t xml:space="preserve"> –</w:t>
      </w:r>
      <w:r w:rsidRPr="00CD6E73">
        <w:rPr>
          <w:rFonts w:ascii="Calibri" w:hAnsi="Calibri" w:cs="Calibri"/>
        </w:rPr>
        <w:t xml:space="preserve"> rather than dismantling </w:t>
      </w:r>
      <w:r w:rsidR="007C76E2" w:rsidRPr="00CD6E73">
        <w:rPr>
          <w:rFonts w:ascii="Calibri" w:hAnsi="Calibri" w:cs="Calibri"/>
        </w:rPr>
        <w:t>–</w:t>
      </w:r>
      <w:r w:rsidRPr="00CD6E73">
        <w:rPr>
          <w:rFonts w:ascii="Calibri" w:hAnsi="Calibri" w:cs="Calibri"/>
        </w:rPr>
        <w:t xml:space="preserve"> the very stereotypes that State</w:t>
      </w:r>
      <w:r w:rsidR="0080186F" w:rsidRPr="00CD6E73">
        <w:rPr>
          <w:rFonts w:ascii="Calibri" w:hAnsi="Calibri" w:cs="Calibri"/>
        </w:rPr>
        <w:t>s</w:t>
      </w:r>
      <w:r w:rsidRPr="00CD6E73">
        <w:rPr>
          <w:rFonts w:ascii="Calibri" w:hAnsi="Calibri" w:cs="Calibri"/>
        </w:rPr>
        <w:t xml:space="preserve"> are obligated to eliminate under CEDAW and </w:t>
      </w:r>
      <w:r w:rsidRPr="00CD6E73">
        <w:rPr>
          <w:rFonts w:ascii="Calibri" w:hAnsi="Calibri" w:cs="Calibri"/>
        </w:rPr>
        <w:lastRenderedPageBreak/>
        <w:t>other international human rights instruments: “Such rigid definitions of sex obscure structural inequalities and threaten to erode decades of normative and legal progress.”</w:t>
      </w:r>
    </w:p>
    <w:p w14:paraId="48EC08F8" w14:textId="77777777" w:rsidR="007C37EA" w:rsidRPr="00CD6E73" w:rsidRDefault="007C37EA" w:rsidP="00B07449">
      <w:pPr>
        <w:spacing w:after="0"/>
        <w:rPr>
          <w:rFonts w:ascii="Calibri" w:hAnsi="Calibri" w:cs="Calibri"/>
        </w:rPr>
      </w:pPr>
    </w:p>
    <w:p w14:paraId="46A53C46" w14:textId="03E04984" w:rsidR="0003672E" w:rsidRPr="00CD6E73" w:rsidRDefault="000F785E" w:rsidP="00B07449">
      <w:pPr>
        <w:spacing w:after="0"/>
        <w:rPr>
          <w:rFonts w:ascii="Calibri" w:hAnsi="Calibri" w:cs="Calibri"/>
        </w:rPr>
      </w:pPr>
      <w:r w:rsidRPr="00CD6E73">
        <w:rPr>
          <w:rFonts w:ascii="Calibri" w:hAnsi="Calibri" w:cs="Calibri"/>
        </w:rPr>
        <w:t xml:space="preserve">The experts also emphasized the importance of analyzing how masculinities are constructed and enforced. Patriarchal systems not only subordinate women and gender-diverse persons but also impose restrictive </w:t>
      </w:r>
      <w:r w:rsidR="007C76E2" w:rsidRPr="00CD6E73">
        <w:rPr>
          <w:rFonts w:ascii="Calibri" w:hAnsi="Calibri" w:cs="Calibri"/>
        </w:rPr>
        <w:t>–</w:t>
      </w:r>
      <w:r w:rsidRPr="00CD6E73">
        <w:rPr>
          <w:rFonts w:ascii="Calibri" w:hAnsi="Calibri" w:cs="Calibri"/>
        </w:rPr>
        <w:t xml:space="preserve"> often harmful </w:t>
      </w:r>
      <w:r w:rsidR="007C76E2" w:rsidRPr="00CD6E73">
        <w:rPr>
          <w:rFonts w:ascii="Calibri" w:hAnsi="Calibri" w:cs="Calibri"/>
        </w:rPr>
        <w:t>–</w:t>
      </w:r>
      <w:r w:rsidRPr="00CD6E73">
        <w:rPr>
          <w:rFonts w:ascii="Calibri" w:hAnsi="Calibri" w:cs="Calibri"/>
        </w:rPr>
        <w:t xml:space="preserve"> ideals of masculinity centered on control, aggression, and emotional suppression. These norms normalize violence, erode emotional and psychological well-being, and marginalize men and boys who do not conform to dominant gender expectations.</w:t>
      </w:r>
    </w:p>
    <w:p w14:paraId="61F4396B" w14:textId="77777777" w:rsidR="007C37EA" w:rsidRPr="00CD6E73" w:rsidRDefault="007C37EA" w:rsidP="00B07449">
      <w:pPr>
        <w:spacing w:after="0"/>
        <w:rPr>
          <w:rFonts w:ascii="Calibri" w:hAnsi="Calibri" w:cs="Calibri"/>
        </w:rPr>
      </w:pPr>
    </w:p>
    <w:p w14:paraId="46A53C47" w14:textId="198E79A8" w:rsidR="0003672E" w:rsidRPr="00CD6E73" w:rsidRDefault="000F785E" w:rsidP="00B07449">
      <w:pPr>
        <w:spacing w:after="0"/>
        <w:rPr>
          <w:rFonts w:ascii="Calibri" w:hAnsi="Calibri" w:cs="Calibri"/>
        </w:rPr>
      </w:pPr>
      <w:r w:rsidRPr="00CD6E73">
        <w:rPr>
          <w:rFonts w:ascii="Calibri" w:hAnsi="Calibri" w:cs="Calibri"/>
        </w:rPr>
        <w:t xml:space="preserve">International legal standards on gender have evolved to reflect </w:t>
      </w:r>
      <w:r w:rsidR="00DC677E" w:rsidRPr="00CD6E73">
        <w:rPr>
          <w:rFonts w:ascii="Calibri" w:hAnsi="Calibri" w:cs="Calibri"/>
        </w:rPr>
        <w:t>advance</w:t>
      </w:r>
      <w:r w:rsidR="00AE4B2C" w:rsidRPr="00CD6E73">
        <w:rPr>
          <w:rFonts w:ascii="Calibri" w:hAnsi="Calibri" w:cs="Calibri"/>
        </w:rPr>
        <w:t>ments</w:t>
      </w:r>
      <w:r w:rsidR="00DC677E" w:rsidRPr="00CD6E73">
        <w:rPr>
          <w:rFonts w:ascii="Calibri" w:hAnsi="Calibri" w:cs="Calibri"/>
        </w:rPr>
        <w:t xml:space="preserve"> i</w:t>
      </w:r>
      <w:r w:rsidR="00AE4B2C" w:rsidRPr="00CD6E73">
        <w:rPr>
          <w:rFonts w:ascii="Calibri" w:hAnsi="Calibri" w:cs="Calibri"/>
        </w:rPr>
        <w:t xml:space="preserve">n </w:t>
      </w:r>
      <w:r w:rsidRPr="00CD6E73">
        <w:rPr>
          <w:rFonts w:ascii="Calibri" w:hAnsi="Calibri" w:cs="Calibri"/>
        </w:rPr>
        <w:t xml:space="preserve">different academic disciplines, as well as the complexity and the interdependence of social inequalities. Regressive efforts </w:t>
      </w:r>
      <w:r w:rsidR="00C60048" w:rsidRPr="00CD6E73">
        <w:rPr>
          <w:rFonts w:ascii="Calibri" w:hAnsi="Calibri" w:cs="Calibri"/>
        </w:rPr>
        <w:t xml:space="preserve">aimed </w:t>
      </w:r>
      <w:r w:rsidRPr="00CD6E73">
        <w:rPr>
          <w:rFonts w:ascii="Calibri" w:hAnsi="Calibri" w:cs="Calibri"/>
        </w:rPr>
        <w:t>to narrow definitions of sex and gender are out of step with this evolution and threaten to reverse hard-won progress toward equality and dignity for all.</w:t>
      </w:r>
    </w:p>
    <w:p w14:paraId="00FB99C3" w14:textId="77777777" w:rsidR="007C37EA" w:rsidRPr="00CD6E73" w:rsidRDefault="007C37EA" w:rsidP="00B07449">
      <w:pPr>
        <w:spacing w:after="0"/>
        <w:rPr>
          <w:rFonts w:ascii="Calibri" w:hAnsi="Calibri" w:cs="Calibri"/>
        </w:rPr>
      </w:pPr>
    </w:p>
    <w:p w14:paraId="46A53C48" w14:textId="4BF5A3BA" w:rsidR="0003672E" w:rsidRPr="00CD6E73" w:rsidRDefault="000F785E" w:rsidP="00B07449">
      <w:pPr>
        <w:spacing w:after="0"/>
        <w:rPr>
          <w:rFonts w:ascii="Calibri" w:hAnsi="Calibri" w:cs="Calibri"/>
        </w:rPr>
      </w:pPr>
      <w:r w:rsidRPr="00CD6E73">
        <w:rPr>
          <w:rFonts w:ascii="Calibri" w:hAnsi="Calibri" w:cs="Calibri"/>
        </w:rPr>
        <w:t xml:space="preserve">They concluded: “As mandate holders entrusted with upholding universal human rights across diverse thematic and country-specific mandates, we call on States and all stakeholders to reaffirm the centrality of gender in international law, policy, and practice. The integrity and coherence of the international human rights system depends on it. All women, in their diversity, must be guaranteed full and equal voice and protection under international law. </w:t>
      </w:r>
      <w:r w:rsidR="007371E9" w:rsidRPr="00CD6E73">
        <w:rPr>
          <w:rFonts w:ascii="Calibri" w:hAnsi="Calibri" w:cs="Calibri"/>
        </w:rPr>
        <w:t>Eradication of g</w:t>
      </w:r>
      <w:r w:rsidRPr="00CD6E73">
        <w:rPr>
          <w:rFonts w:ascii="Calibri" w:hAnsi="Calibri" w:cs="Calibri"/>
        </w:rPr>
        <w:t xml:space="preserve">ender-based discrimination and gender-based violence are cross-cutting challenges that demand coordinated, sustained, </w:t>
      </w:r>
      <w:r w:rsidR="004A6BF5" w:rsidRPr="00CD6E73">
        <w:rPr>
          <w:rFonts w:ascii="Calibri" w:hAnsi="Calibri" w:cs="Calibri"/>
        </w:rPr>
        <w:t xml:space="preserve">non-retrogressive </w:t>
      </w:r>
      <w:r w:rsidRPr="00CD6E73">
        <w:rPr>
          <w:rFonts w:ascii="Calibri" w:hAnsi="Calibri" w:cs="Calibri"/>
        </w:rPr>
        <w:t xml:space="preserve">and </w:t>
      </w:r>
      <w:r w:rsidR="00BF36A1" w:rsidRPr="00CD6E73">
        <w:rPr>
          <w:rFonts w:ascii="Calibri" w:hAnsi="Calibri" w:cs="Calibri"/>
        </w:rPr>
        <w:t>non-discriminatory</w:t>
      </w:r>
      <w:r w:rsidRPr="00CD6E73">
        <w:rPr>
          <w:rFonts w:ascii="Calibri" w:hAnsi="Calibri" w:cs="Calibri"/>
        </w:rPr>
        <w:t xml:space="preserve"> responses from States, businesses and all other actors</w:t>
      </w:r>
      <w:r w:rsidR="007C76E2" w:rsidRPr="00CD6E73">
        <w:rPr>
          <w:rFonts w:ascii="Calibri" w:hAnsi="Calibri" w:cs="Calibri"/>
        </w:rPr>
        <w:t xml:space="preserve"> – </w:t>
      </w:r>
      <w:r w:rsidRPr="00CD6E73">
        <w:rPr>
          <w:rFonts w:ascii="Calibri" w:hAnsi="Calibri" w:cs="Calibri"/>
        </w:rPr>
        <w:t>responses that are essential to realizing the promise of human rights for all.”</w:t>
      </w:r>
    </w:p>
    <w:p w14:paraId="46A53C49" w14:textId="77777777" w:rsidR="0003672E" w:rsidRPr="00CD6E73" w:rsidRDefault="0003672E" w:rsidP="00B07449">
      <w:pPr>
        <w:spacing w:after="0"/>
        <w:rPr>
          <w:rFonts w:ascii="Calibri" w:hAnsi="Calibri" w:cs="Calibri"/>
        </w:rPr>
      </w:pPr>
    </w:p>
    <w:p w14:paraId="53E6925F" w14:textId="77777777" w:rsidR="003728D2" w:rsidRPr="003728D2" w:rsidRDefault="003728D2" w:rsidP="003728D2">
      <w:pPr>
        <w:spacing w:after="0"/>
        <w:rPr>
          <w:rFonts w:ascii="Calibri" w:hAnsi="Calibri" w:cs="Calibri"/>
          <w:b/>
          <w:bCs/>
          <w:i/>
          <w:iCs/>
          <w:lang w:val="en-GB"/>
        </w:rPr>
      </w:pPr>
    </w:p>
    <w:p w14:paraId="4F8A364E" w14:textId="77777777" w:rsidR="003728D2" w:rsidRPr="003728D2" w:rsidRDefault="003728D2" w:rsidP="003728D2">
      <w:pPr>
        <w:spacing w:after="0"/>
        <w:rPr>
          <w:rFonts w:ascii="Calibri" w:hAnsi="Calibri" w:cs="Calibri"/>
          <w:i/>
          <w:iCs/>
          <w:lang w:val="en-GB"/>
        </w:rPr>
      </w:pPr>
      <w:r w:rsidRPr="003728D2">
        <w:rPr>
          <w:rFonts w:ascii="Calibri" w:hAnsi="Calibri" w:cs="Calibri"/>
          <w:b/>
          <w:bCs/>
          <w:i/>
          <w:iCs/>
          <w:lang w:val="en-GB"/>
        </w:rPr>
        <w:t>*The experts:</w:t>
      </w:r>
      <w:r w:rsidRPr="003728D2">
        <w:rPr>
          <w:rFonts w:ascii="Calibri" w:hAnsi="Calibri" w:cs="Calibri"/>
          <w:i/>
          <w:iCs/>
          <w:lang w:val="en-GB"/>
        </w:rPr>
        <w:t xml:space="preserve"> </w:t>
      </w:r>
    </w:p>
    <w:p w14:paraId="0452287B" w14:textId="77777777" w:rsidR="003728D2" w:rsidRPr="003728D2" w:rsidRDefault="003728D2" w:rsidP="003728D2">
      <w:pPr>
        <w:spacing w:after="0"/>
        <w:rPr>
          <w:rFonts w:ascii="Calibri" w:hAnsi="Calibri" w:cs="Calibri"/>
          <w:i/>
          <w:iCs/>
          <w:lang w:val="en-GB"/>
        </w:rPr>
      </w:pPr>
    </w:p>
    <w:p w14:paraId="5EE79780" w14:textId="77777777" w:rsidR="003728D2" w:rsidRPr="003728D2" w:rsidRDefault="003728D2" w:rsidP="003728D2">
      <w:pPr>
        <w:numPr>
          <w:ilvl w:val="0"/>
          <w:numId w:val="1"/>
        </w:numPr>
        <w:spacing w:after="0"/>
        <w:rPr>
          <w:rFonts w:ascii="Calibri" w:hAnsi="Calibri" w:cs="Calibri"/>
          <w:b/>
          <w:bCs/>
          <w:i/>
          <w:iCs/>
          <w:lang w:val="en-CA"/>
        </w:rPr>
      </w:pPr>
      <w:r w:rsidRPr="003728D2">
        <w:rPr>
          <w:rFonts w:ascii="Calibri" w:hAnsi="Calibri" w:cs="Calibri"/>
          <w:b/>
          <w:bCs/>
          <w:i/>
          <w:iCs/>
          <w:lang w:val="en-GB"/>
        </w:rPr>
        <w:t xml:space="preserve">Graeme Reid, </w:t>
      </w:r>
      <w:hyperlink r:id="rId8" w:history="1">
        <w:r w:rsidRPr="003728D2">
          <w:rPr>
            <w:rStyle w:val="Hyperlink"/>
            <w:rFonts w:ascii="Calibri" w:hAnsi="Calibri" w:cs="Calibri"/>
            <w:b/>
            <w:bCs/>
            <w:i/>
            <w:iCs/>
            <w:lang w:val="en-GB"/>
          </w:rPr>
          <w:t>Independent Expert on protection against violence and discrimination based on sexual orientation and gender identity</w:t>
        </w:r>
      </w:hyperlink>
      <w:r w:rsidRPr="003728D2">
        <w:rPr>
          <w:rFonts w:ascii="Calibri" w:hAnsi="Calibri" w:cs="Calibri"/>
          <w:b/>
          <w:bCs/>
          <w:i/>
          <w:iCs/>
          <w:lang w:val="en-GB"/>
        </w:rPr>
        <w:t xml:space="preserve"> </w:t>
      </w:r>
    </w:p>
    <w:p w14:paraId="6026986A" w14:textId="77777777" w:rsidR="00B41DA7" w:rsidRPr="003728D2" w:rsidRDefault="00B41DA7" w:rsidP="00B41DA7">
      <w:pPr>
        <w:numPr>
          <w:ilvl w:val="0"/>
          <w:numId w:val="1"/>
        </w:numPr>
        <w:spacing w:after="0"/>
        <w:rPr>
          <w:rFonts w:ascii="Calibri" w:hAnsi="Calibri" w:cs="Calibri"/>
          <w:b/>
          <w:bCs/>
          <w:i/>
          <w:iCs/>
          <w:lang w:val="en-GB"/>
        </w:rPr>
      </w:pPr>
      <w:r w:rsidRPr="003728D2">
        <w:rPr>
          <w:rFonts w:ascii="Calibri" w:hAnsi="Calibri" w:cs="Calibri"/>
          <w:b/>
          <w:bCs/>
          <w:i/>
          <w:iCs/>
          <w:lang w:val="en-GB"/>
        </w:rPr>
        <w:t>Alexandra Xanthaki, </w:t>
      </w:r>
      <w:hyperlink r:id="rId9" w:history="1">
        <w:r w:rsidRPr="003728D2">
          <w:rPr>
            <w:rStyle w:val="Hyperlink"/>
            <w:rFonts w:ascii="Calibri" w:hAnsi="Calibri" w:cs="Calibri"/>
            <w:b/>
            <w:bCs/>
            <w:i/>
            <w:iCs/>
            <w:lang w:val="en-GB"/>
          </w:rPr>
          <w:t>Special Rapporteur in the field of cultural rights</w:t>
        </w:r>
      </w:hyperlink>
    </w:p>
    <w:p w14:paraId="43B1F3E6" w14:textId="77777777" w:rsidR="00B41DA7" w:rsidRPr="003728D2" w:rsidRDefault="00B41DA7" w:rsidP="00B41DA7">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Claudia Flores (Chair), Ivana Krstić (Vice-Chair), Dorothy Estrada Tanck, Haina Lu, and Laura Nyirinkindi, </w:t>
      </w:r>
      <w:hyperlink r:id="rId10" w:history="1">
        <w:r w:rsidRPr="003728D2">
          <w:rPr>
            <w:rStyle w:val="Hyperlink"/>
            <w:rFonts w:ascii="Calibri" w:hAnsi="Calibri" w:cs="Calibri"/>
            <w:b/>
            <w:bCs/>
            <w:i/>
            <w:iCs/>
            <w:lang w:val="en-GB"/>
          </w:rPr>
          <w:t>Working group on discrimination against women and girls</w:t>
        </w:r>
      </w:hyperlink>
      <w:r w:rsidRPr="003728D2">
        <w:rPr>
          <w:rFonts w:ascii="Calibri" w:hAnsi="Calibri" w:cs="Calibri"/>
          <w:b/>
          <w:bCs/>
          <w:i/>
          <w:iCs/>
          <w:lang w:val="en-GB"/>
        </w:rPr>
        <w:t>; </w:t>
      </w:r>
    </w:p>
    <w:p w14:paraId="75ABF8C4" w14:textId="77777777" w:rsidR="003728D2" w:rsidRPr="003728D2" w:rsidRDefault="003728D2" w:rsidP="003728D2">
      <w:pPr>
        <w:numPr>
          <w:ilvl w:val="0"/>
          <w:numId w:val="1"/>
        </w:numPr>
        <w:spacing w:after="0"/>
        <w:rPr>
          <w:rFonts w:ascii="Calibri" w:hAnsi="Calibri" w:cs="Calibri"/>
          <w:b/>
          <w:bCs/>
          <w:i/>
          <w:iCs/>
          <w:lang w:val="en-CA"/>
        </w:rPr>
      </w:pPr>
      <w:r w:rsidRPr="003728D2">
        <w:rPr>
          <w:rFonts w:ascii="Calibri" w:hAnsi="Calibri" w:cs="Calibri"/>
          <w:b/>
          <w:bCs/>
          <w:i/>
          <w:iCs/>
          <w:lang w:val="en-GB"/>
        </w:rPr>
        <w:t xml:space="preserve">Cecilia M. </w:t>
      </w:r>
      <w:proofErr w:type="spellStart"/>
      <w:r w:rsidRPr="003728D2">
        <w:rPr>
          <w:rFonts w:ascii="Calibri" w:hAnsi="Calibri" w:cs="Calibri"/>
          <w:b/>
          <w:bCs/>
          <w:i/>
          <w:iCs/>
          <w:lang w:val="en-GB"/>
        </w:rPr>
        <w:t>Bailliet</w:t>
      </w:r>
      <w:proofErr w:type="spellEnd"/>
      <w:r w:rsidRPr="003728D2">
        <w:rPr>
          <w:rFonts w:ascii="Calibri" w:hAnsi="Calibri" w:cs="Calibri"/>
          <w:b/>
          <w:bCs/>
          <w:i/>
          <w:iCs/>
          <w:lang w:val="en-GB"/>
        </w:rPr>
        <w:t xml:space="preserve">, </w:t>
      </w:r>
      <w:hyperlink r:id="rId11" w:history="1">
        <w:r w:rsidRPr="003728D2">
          <w:rPr>
            <w:rStyle w:val="Hyperlink"/>
            <w:rFonts w:ascii="Calibri" w:hAnsi="Calibri" w:cs="Calibri"/>
            <w:b/>
            <w:bCs/>
            <w:i/>
            <w:iCs/>
            <w:lang w:val="en-GB"/>
          </w:rPr>
          <w:t>Independent Expert on human rights and international solidarity</w:t>
        </w:r>
      </w:hyperlink>
    </w:p>
    <w:p w14:paraId="61736D4A"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rPr>
        <w:t xml:space="preserve">Irene Khan, </w:t>
      </w:r>
      <w:hyperlink r:id="rId12" w:history="1">
        <w:r w:rsidRPr="003728D2">
          <w:rPr>
            <w:rStyle w:val="Hyperlink"/>
            <w:rFonts w:ascii="Calibri" w:hAnsi="Calibri" w:cs="Calibri"/>
            <w:b/>
            <w:bCs/>
            <w:i/>
            <w:iCs/>
          </w:rPr>
          <w:t>Special Rapporteur on the promotion and protection of the right to freedom of opinion and expression</w:t>
        </w:r>
      </w:hyperlink>
    </w:p>
    <w:p w14:paraId="00318543" w14:textId="77777777" w:rsidR="003728D2" w:rsidRPr="003728D2" w:rsidRDefault="003728D2" w:rsidP="003728D2">
      <w:pPr>
        <w:numPr>
          <w:ilvl w:val="0"/>
          <w:numId w:val="1"/>
        </w:numPr>
        <w:spacing w:after="0"/>
        <w:rPr>
          <w:rFonts w:ascii="Calibri" w:hAnsi="Calibri" w:cs="Calibri"/>
          <w:b/>
          <w:bCs/>
          <w:i/>
          <w:iCs/>
          <w:lang w:val="en-CA"/>
        </w:rPr>
      </w:pPr>
      <w:r w:rsidRPr="003728D2">
        <w:rPr>
          <w:rFonts w:ascii="Calibri" w:hAnsi="Calibri" w:cs="Calibri"/>
          <w:b/>
          <w:bCs/>
          <w:i/>
          <w:iCs/>
          <w:lang w:val="en-GB"/>
        </w:rPr>
        <w:t xml:space="preserve">Paula  Gaviria Betancur, </w:t>
      </w:r>
      <w:hyperlink r:id="rId13" w:history="1">
        <w:r w:rsidRPr="003728D2">
          <w:rPr>
            <w:rStyle w:val="Hyperlink"/>
            <w:rFonts w:ascii="Calibri" w:hAnsi="Calibri" w:cs="Calibri"/>
            <w:b/>
            <w:bCs/>
            <w:i/>
            <w:iCs/>
            <w:lang w:val="en-GB"/>
          </w:rPr>
          <w:t>Special Rapporteur on the human rights of internally displaced persons</w:t>
        </w:r>
      </w:hyperlink>
    </w:p>
    <w:p w14:paraId="06D20FCB"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lastRenderedPageBreak/>
        <w:t xml:space="preserve">Claudia Mahler, </w:t>
      </w:r>
      <w:hyperlink r:id="rId14" w:history="1">
        <w:r w:rsidRPr="003728D2">
          <w:rPr>
            <w:rStyle w:val="Hyperlink"/>
            <w:rFonts w:ascii="Calibri" w:hAnsi="Calibri" w:cs="Calibri"/>
            <w:b/>
            <w:bCs/>
            <w:i/>
            <w:iCs/>
            <w:lang w:val="en-GB"/>
          </w:rPr>
          <w:t>Independent Expert on the enjoyment of all human rights by older persons</w:t>
        </w:r>
      </w:hyperlink>
      <w:r w:rsidRPr="003728D2">
        <w:rPr>
          <w:rFonts w:ascii="Calibri" w:hAnsi="Calibri" w:cs="Calibri"/>
          <w:b/>
          <w:bCs/>
          <w:i/>
          <w:iCs/>
          <w:lang w:val="en-GB"/>
        </w:rPr>
        <w:t xml:space="preserve"> </w:t>
      </w:r>
    </w:p>
    <w:p w14:paraId="43B497EB"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George  Katrougalos, </w:t>
      </w:r>
      <w:hyperlink r:id="rId15" w:history="1">
        <w:r w:rsidRPr="003728D2">
          <w:rPr>
            <w:rStyle w:val="Hyperlink"/>
            <w:rFonts w:ascii="Calibri" w:hAnsi="Calibri" w:cs="Calibri"/>
            <w:b/>
            <w:bCs/>
            <w:i/>
            <w:iCs/>
            <w:lang w:val="en-GB"/>
          </w:rPr>
          <w:t>Independent expert on the promotion of a democratic and equitable international order</w:t>
        </w:r>
      </w:hyperlink>
    </w:p>
    <w:p w14:paraId="0234EAEE"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K.P. Ashwini, </w:t>
      </w:r>
      <w:hyperlink r:id="rId16" w:history="1">
        <w:r w:rsidRPr="003728D2">
          <w:rPr>
            <w:rStyle w:val="Hyperlink"/>
            <w:rFonts w:ascii="Calibri" w:hAnsi="Calibri" w:cs="Calibri"/>
            <w:b/>
            <w:bCs/>
            <w:i/>
            <w:iCs/>
            <w:lang w:val="en-GB"/>
          </w:rPr>
          <w:t>Special Rapporteur on contemporary forms of racism, racial discrimination, xenophobia and related intolerance</w:t>
        </w:r>
      </w:hyperlink>
      <w:r w:rsidRPr="003728D2">
        <w:rPr>
          <w:rFonts w:ascii="Calibri" w:hAnsi="Calibri" w:cs="Calibri"/>
          <w:b/>
          <w:bCs/>
          <w:i/>
          <w:iCs/>
          <w:lang w:val="en-GB"/>
        </w:rPr>
        <w:t xml:space="preserve"> </w:t>
      </w:r>
    </w:p>
    <w:p w14:paraId="43256B7A"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Tomoya Obokata, </w:t>
      </w:r>
      <w:hyperlink r:id="rId17" w:history="1">
        <w:r w:rsidRPr="003728D2">
          <w:rPr>
            <w:rStyle w:val="Hyperlink"/>
            <w:rFonts w:ascii="Calibri" w:hAnsi="Calibri" w:cs="Calibri"/>
            <w:b/>
            <w:bCs/>
            <w:i/>
            <w:iCs/>
            <w:lang w:val="en-GB"/>
          </w:rPr>
          <w:t>Special Rapporteur on contemporary forms of slavery, including its causes and consequences</w:t>
        </w:r>
      </w:hyperlink>
      <w:r w:rsidRPr="003728D2">
        <w:rPr>
          <w:rFonts w:ascii="Calibri" w:hAnsi="Calibri" w:cs="Calibri"/>
          <w:b/>
          <w:bCs/>
          <w:i/>
          <w:iCs/>
          <w:lang w:val="en-GB"/>
        </w:rPr>
        <w:t xml:space="preserve"> </w:t>
      </w:r>
    </w:p>
    <w:p w14:paraId="0D98F7F3"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Olivier De Schutter, </w:t>
      </w:r>
      <w:hyperlink r:id="rId18" w:history="1">
        <w:r w:rsidRPr="003728D2">
          <w:rPr>
            <w:rStyle w:val="Hyperlink"/>
            <w:rFonts w:ascii="Calibri" w:hAnsi="Calibri" w:cs="Calibri"/>
            <w:b/>
            <w:bCs/>
            <w:i/>
            <w:iCs/>
            <w:lang w:val="en-GB"/>
          </w:rPr>
          <w:t>Special Rapporteur on extreme poverty and human rights</w:t>
        </w:r>
      </w:hyperlink>
      <w:r w:rsidRPr="003728D2">
        <w:rPr>
          <w:rFonts w:ascii="Calibri" w:hAnsi="Calibri" w:cs="Calibri"/>
          <w:b/>
          <w:bCs/>
          <w:i/>
          <w:iCs/>
          <w:lang w:val="en-GB"/>
        </w:rPr>
        <w:t xml:space="preserve"> </w:t>
      </w:r>
    </w:p>
    <w:p w14:paraId="406CDA7A"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Nicolas Levrat, </w:t>
      </w:r>
      <w:hyperlink r:id="rId19" w:history="1">
        <w:r w:rsidRPr="003728D2">
          <w:rPr>
            <w:rStyle w:val="Hyperlink"/>
            <w:rFonts w:ascii="Calibri" w:hAnsi="Calibri" w:cs="Calibri"/>
            <w:b/>
            <w:bCs/>
            <w:i/>
            <w:iCs/>
            <w:lang w:val="en-GB"/>
          </w:rPr>
          <w:t>Special Rapporteur on minority issues</w:t>
        </w:r>
      </w:hyperlink>
      <w:r w:rsidRPr="003728D2">
        <w:rPr>
          <w:rFonts w:ascii="Calibri" w:hAnsi="Calibri" w:cs="Calibri"/>
          <w:b/>
          <w:bCs/>
          <w:i/>
          <w:iCs/>
          <w:lang w:val="en-GB"/>
        </w:rPr>
        <w:t xml:space="preserve"> </w:t>
      </w:r>
    </w:p>
    <w:p w14:paraId="2B0652D0"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Astrid Puentes Riaño, </w:t>
      </w:r>
      <w:hyperlink r:id="rId20" w:history="1">
        <w:r w:rsidRPr="003728D2">
          <w:rPr>
            <w:rStyle w:val="Hyperlink"/>
            <w:rFonts w:ascii="Calibri" w:hAnsi="Calibri" w:cs="Calibri"/>
            <w:b/>
            <w:bCs/>
            <w:i/>
            <w:iCs/>
            <w:lang w:val="en-GB"/>
          </w:rPr>
          <w:t>Special Rapporteur on the human right to a clean, healthy and sustainable environment</w:t>
        </w:r>
      </w:hyperlink>
      <w:r w:rsidRPr="003728D2">
        <w:rPr>
          <w:rFonts w:ascii="Calibri" w:hAnsi="Calibri" w:cs="Calibri"/>
          <w:b/>
          <w:bCs/>
          <w:i/>
          <w:iCs/>
          <w:lang w:val="en-GB"/>
        </w:rPr>
        <w:t xml:space="preserve"> </w:t>
      </w:r>
    </w:p>
    <w:p w14:paraId="2CA3BCE5"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Gehad Madi, </w:t>
      </w:r>
      <w:hyperlink r:id="rId21" w:history="1">
        <w:r w:rsidRPr="003728D2">
          <w:rPr>
            <w:rStyle w:val="Hyperlink"/>
            <w:rFonts w:ascii="Calibri" w:hAnsi="Calibri" w:cs="Calibri"/>
            <w:b/>
            <w:bCs/>
            <w:i/>
            <w:iCs/>
            <w:lang w:val="en-GB"/>
          </w:rPr>
          <w:t>Special Rapporteur on the human rights of migrants</w:t>
        </w:r>
      </w:hyperlink>
      <w:r w:rsidRPr="003728D2">
        <w:rPr>
          <w:rFonts w:ascii="Calibri" w:hAnsi="Calibri" w:cs="Calibri"/>
          <w:b/>
          <w:bCs/>
          <w:i/>
          <w:iCs/>
          <w:lang w:val="en-GB"/>
        </w:rPr>
        <w:t xml:space="preserve"> </w:t>
      </w:r>
    </w:p>
    <w:p w14:paraId="20927409"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Marcos A. Orellana, </w:t>
      </w:r>
      <w:hyperlink r:id="rId22" w:history="1">
        <w:r w:rsidRPr="003728D2">
          <w:rPr>
            <w:rStyle w:val="Hyperlink"/>
            <w:rFonts w:ascii="Calibri" w:hAnsi="Calibri" w:cs="Calibri"/>
            <w:b/>
            <w:bCs/>
            <w:i/>
            <w:iCs/>
            <w:lang w:val="en-GB"/>
          </w:rPr>
          <w:t>Special Rapporteur on the implications for human rights of the environmentally sound management and disposal of hazardous substances and wastes</w:t>
        </w:r>
      </w:hyperlink>
      <w:r w:rsidRPr="003728D2">
        <w:rPr>
          <w:rFonts w:ascii="Calibri" w:hAnsi="Calibri" w:cs="Calibri"/>
          <w:b/>
          <w:bCs/>
          <w:i/>
          <w:iCs/>
          <w:lang w:val="en-GB"/>
        </w:rPr>
        <w:t xml:space="preserve"> </w:t>
      </w:r>
    </w:p>
    <w:p w14:paraId="2D7A44C1"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Margaret Satterthwaite, </w:t>
      </w:r>
      <w:hyperlink r:id="rId23" w:history="1">
        <w:r w:rsidRPr="003728D2">
          <w:rPr>
            <w:rStyle w:val="Hyperlink"/>
            <w:rFonts w:ascii="Calibri" w:hAnsi="Calibri" w:cs="Calibri"/>
            <w:b/>
            <w:bCs/>
            <w:i/>
            <w:iCs/>
            <w:lang w:val="en-GB"/>
          </w:rPr>
          <w:t>Special Rapporteur on the independence of judges and lawyers</w:t>
        </w:r>
      </w:hyperlink>
      <w:r w:rsidRPr="003728D2">
        <w:rPr>
          <w:rFonts w:ascii="Calibri" w:hAnsi="Calibri" w:cs="Calibri"/>
          <w:b/>
          <w:bCs/>
          <w:i/>
          <w:iCs/>
          <w:lang w:val="en-GB"/>
        </w:rPr>
        <w:t xml:space="preserve"> </w:t>
      </w:r>
    </w:p>
    <w:p w14:paraId="46AC5E87"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Ben Saul, </w:t>
      </w:r>
      <w:hyperlink r:id="rId24" w:history="1">
        <w:r w:rsidRPr="003728D2">
          <w:rPr>
            <w:rStyle w:val="Hyperlink"/>
            <w:rFonts w:ascii="Calibri" w:hAnsi="Calibri" w:cs="Calibri"/>
            <w:b/>
            <w:bCs/>
            <w:i/>
            <w:iCs/>
            <w:lang w:val="en-GB"/>
          </w:rPr>
          <w:t>Special Rapporteur on the promotion and protection of human rights and fundamental freedoms while countering terrorism</w:t>
        </w:r>
      </w:hyperlink>
      <w:r w:rsidRPr="003728D2">
        <w:rPr>
          <w:rFonts w:ascii="Calibri" w:hAnsi="Calibri" w:cs="Calibri"/>
          <w:b/>
          <w:bCs/>
          <w:i/>
          <w:iCs/>
          <w:lang w:val="en-GB"/>
        </w:rPr>
        <w:t xml:space="preserve"> </w:t>
      </w:r>
    </w:p>
    <w:p w14:paraId="5DB346A5"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Elisa Morgera, </w:t>
      </w:r>
      <w:hyperlink r:id="rId25" w:history="1">
        <w:r w:rsidRPr="003728D2">
          <w:rPr>
            <w:rStyle w:val="Hyperlink"/>
            <w:rFonts w:ascii="Calibri" w:hAnsi="Calibri" w:cs="Calibri"/>
            <w:b/>
            <w:bCs/>
            <w:i/>
            <w:iCs/>
            <w:lang w:val="en-GB"/>
          </w:rPr>
          <w:t>Special Rapporteur on the promotion and protection of human rights in the context of climate change</w:t>
        </w:r>
      </w:hyperlink>
      <w:r w:rsidRPr="003728D2">
        <w:rPr>
          <w:rFonts w:ascii="Calibri" w:hAnsi="Calibri" w:cs="Calibri"/>
          <w:b/>
          <w:bCs/>
          <w:i/>
          <w:iCs/>
          <w:lang w:val="en-GB"/>
        </w:rPr>
        <w:t xml:space="preserve"> </w:t>
      </w:r>
    </w:p>
    <w:p w14:paraId="41AA0D78"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Bernard  Duhaime, </w:t>
      </w:r>
      <w:hyperlink r:id="rId26" w:history="1">
        <w:r w:rsidRPr="003728D2">
          <w:rPr>
            <w:rStyle w:val="Hyperlink"/>
            <w:rFonts w:ascii="Calibri" w:hAnsi="Calibri" w:cs="Calibri"/>
            <w:b/>
            <w:bCs/>
            <w:i/>
            <w:iCs/>
            <w:lang w:val="en-GB"/>
          </w:rPr>
          <w:t>Special Rapporteur on the promotion of truth, justice, reparation and guarantees of non-recurrence</w:t>
        </w:r>
      </w:hyperlink>
      <w:r w:rsidRPr="003728D2">
        <w:rPr>
          <w:rFonts w:ascii="Calibri" w:hAnsi="Calibri" w:cs="Calibri"/>
          <w:b/>
          <w:bCs/>
          <w:i/>
          <w:iCs/>
          <w:lang w:val="en-GB"/>
        </w:rPr>
        <w:t xml:space="preserve"> </w:t>
      </w:r>
    </w:p>
    <w:p w14:paraId="33D39328" w14:textId="77777777" w:rsidR="003728D2" w:rsidRPr="003728D2" w:rsidRDefault="003728D2" w:rsidP="003728D2">
      <w:pPr>
        <w:numPr>
          <w:ilvl w:val="0"/>
          <w:numId w:val="1"/>
        </w:numPr>
        <w:spacing w:after="0"/>
        <w:rPr>
          <w:rFonts w:ascii="Calibri" w:hAnsi="Calibri" w:cs="Calibri"/>
          <w:b/>
          <w:bCs/>
          <w:i/>
          <w:iCs/>
          <w:lang w:val="en-GB"/>
        </w:rPr>
      </w:pPr>
      <w:proofErr w:type="spellStart"/>
      <w:r w:rsidRPr="003728D2">
        <w:rPr>
          <w:rFonts w:ascii="Calibri" w:hAnsi="Calibri" w:cs="Calibri"/>
          <w:b/>
          <w:bCs/>
          <w:i/>
          <w:iCs/>
          <w:lang w:val="en-GB"/>
        </w:rPr>
        <w:t>Tlaleng</w:t>
      </w:r>
      <w:proofErr w:type="spellEnd"/>
      <w:r w:rsidRPr="003728D2">
        <w:rPr>
          <w:rFonts w:ascii="Calibri" w:hAnsi="Calibri" w:cs="Calibri"/>
          <w:b/>
          <w:bCs/>
          <w:i/>
          <w:iCs/>
          <w:lang w:val="en-GB"/>
        </w:rPr>
        <w:t xml:space="preserve"> Mofokeng, </w:t>
      </w:r>
      <w:hyperlink r:id="rId27" w:history="1">
        <w:r w:rsidRPr="003728D2">
          <w:rPr>
            <w:rStyle w:val="Hyperlink"/>
            <w:rFonts w:ascii="Calibri" w:hAnsi="Calibri" w:cs="Calibri"/>
            <w:b/>
            <w:bCs/>
            <w:i/>
            <w:iCs/>
            <w:lang w:val="en-GB"/>
          </w:rPr>
          <w:t xml:space="preserve">Special Rapporteur on the right of everyone to the enjoyment of the highest attainable standard of physical and mental </w:t>
        </w:r>
        <w:proofErr w:type="spellStart"/>
        <w:r w:rsidRPr="003728D2">
          <w:rPr>
            <w:rStyle w:val="Hyperlink"/>
            <w:rFonts w:ascii="Calibri" w:hAnsi="Calibri" w:cs="Calibri"/>
            <w:b/>
            <w:bCs/>
            <w:i/>
            <w:iCs/>
            <w:lang w:val="en-GB"/>
          </w:rPr>
          <w:t>health</w:t>
        </w:r>
      </w:hyperlink>
      <w:r w:rsidRPr="003728D2">
        <w:rPr>
          <w:rFonts w:ascii="Calibri" w:hAnsi="Calibri" w:cs="Calibri"/>
          <w:b/>
          <w:bCs/>
          <w:i/>
          <w:iCs/>
          <w:lang w:val="en-GB"/>
        </w:rPr>
        <w:t>v</w:t>
      </w:r>
      <w:proofErr w:type="spellEnd"/>
      <w:r w:rsidRPr="003728D2">
        <w:rPr>
          <w:rFonts w:ascii="Calibri" w:hAnsi="Calibri" w:cs="Calibri"/>
          <w:b/>
          <w:bCs/>
          <w:i/>
          <w:iCs/>
          <w:lang w:val="en-GB"/>
        </w:rPr>
        <w:t xml:space="preserve"> </w:t>
      </w:r>
    </w:p>
    <w:p w14:paraId="56C121D9"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Surya Deva, </w:t>
      </w:r>
      <w:hyperlink r:id="rId28" w:history="1">
        <w:r w:rsidRPr="003728D2">
          <w:rPr>
            <w:rStyle w:val="Hyperlink"/>
            <w:rFonts w:ascii="Calibri" w:hAnsi="Calibri" w:cs="Calibri"/>
            <w:b/>
            <w:bCs/>
            <w:i/>
            <w:iCs/>
            <w:lang w:val="en-GB"/>
          </w:rPr>
          <w:t>Special Rapporteur on the right to development</w:t>
        </w:r>
      </w:hyperlink>
      <w:r w:rsidRPr="003728D2">
        <w:rPr>
          <w:rFonts w:ascii="Calibri" w:hAnsi="Calibri" w:cs="Calibri"/>
          <w:b/>
          <w:bCs/>
          <w:i/>
          <w:iCs/>
          <w:lang w:val="en-GB"/>
        </w:rPr>
        <w:t xml:space="preserve"> </w:t>
      </w:r>
    </w:p>
    <w:p w14:paraId="4A3C6423"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Farida Shaheed, </w:t>
      </w:r>
      <w:hyperlink r:id="rId29" w:history="1">
        <w:r w:rsidRPr="003728D2">
          <w:rPr>
            <w:rStyle w:val="Hyperlink"/>
            <w:rFonts w:ascii="Calibri" w:hAnsi="Calibri" w:cs="Calibri"/>
            <w:b/>
            <w:bCs/>
            <w:i/>
            <w:iCs/>
            <w:lang w:val="en-GB"/>
          </w:rPr>
          <w:t>Special Rapporteur on the right to education</w:t>
        </w:r>
      </w:hyperlink>
      <w:r w:rsidRPr="003728D2">
        <w:rPr>
          <w:rFonts w:ascii="Calibri" w:hAnsi="Calibri" w:cs="Calibri"/>
          <w:b/>
          <w:bCs/>
          <w:i/>
          <w:iCs/>
          <w:lang w:val="en-GB"/>
        </w:rPr>
        <w:t xml:space="preserve"> </w:t>
      </w:r>
    </w:p>
    <w:p w14:paraId="09DA788C"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Gina  Romero, </w:t>
      </w:r>
      <w:hyperlink r:id="rId30" w:history="1">
        <w:r w:rsidRPr="003728D2">
          <w:rPr>
            <w:rStyle w:val="Hyperlink"/>
            <w:rFonts w:ascii="Calibri" w:hAnsi="Calibri" w:cs="Calibri"/>
            <w:b/>
            <w:bCs/>
            <w:i/>
            <w:iCs/>
            <w:lang w:val="en-GB"/>
          </w:rPr>
          <w:t xml:space="preserve">Special Rapporteur on the rights to freedom of peaceful assembly and of association </w:t>
        </w:r>
      </w:hyperlink>
      <w:r w:rsidRPr="003728D2">
        <w:rPr>
          <w:rFonts w:ascii="Calibri" w:hAnsi="Calibri" w:cs="Calibri"/>
          <w:b/>
          <w:bCs/>
          <w:i/>
          <w:iCs/>
          <w:lang w:val="en-GB"/>
        </w:rPr>
        <w:t xml:space="preserve"> </w:t>
      </w:r>
    </w:p>
    <w:p w14:paraId="1D4F4091"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Mary Lawlor, </w:t>
      </w:r>
      <w:hyperlink r:id="rId31" w:history="1">
        <w:r w:rsidRPr="003728D2">
          <w:rPr>
            <w:rStyle w:val="Hyperlink"/>
            <w:rFonts w:ascii="Calibri" w:hAnsi="Calibri" w:cs="Calibri"/>
            <w:b/>
            <w:bCs/>
            <w:i/>
            <w:iCs/>
            <w:lang w:val="en-GB"/>
          </w:rPr>
          <w:t xml:space="preserve">Special Rapporteur on the situation of human rights defenders </w:t>
        </w:r>
      </w:hyperlink>
      <w:r w:rsidRPr="003728D2">
        <w:rPr>
          <w:rFonts w:ascii="Calibri" w:hAnsi="Calibri" w:cs="Calibri"/>
          <w:b/>
          <w:bCs/>
          <w:i/>
          <w:iCs/>
          <w:lang w:val="en-GB"/>
        </w:rPr>
        <w:t xml:space="preserve"> </w:t>
      </w:r>
    </w:p>
    <w:p w14:paraId="046CCCE0"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Michael Fakhri, </w:t>
      </w:r>
      <w:hyperlink r:id="rId32" w:history="1">
        <w:r w:rsidRPr="003728D2">
          <w:rPr>
            <w:rStyle w:val="Hyperlink"/>
            <w:rFonts w:ascii="Calibri" w:hAnsi="Calibri" w:cs="Calibri"/>
            <w:b/>
            <w:bCs/>
            <w:i/>
            <w:iCs/>
            <w:lang w:val="en-GB"/>
          </w:rPr>
          <w:t>Special Rapporteur on the right to food</w:t>
        </w:r>
      </w:hyperlink>
      <w:r w:rsidRPr="003728D2">
        <w:rPr>
          <w:rFonts w:ascii="Calibri" w:hAnsi="Calibri" w:cs="Calibri"/>
          <w:b/>
          <w:bCs/>
          <w:i/>
          <w:iCs/>
          <w:lang w:val="en-GB"/>
        </w:rPr>
        <w:t xml:space="preserve"> </w:t>
      </w:r>
    </w:p>
    <w:p w14:paraId="5CFC6AD1"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Gehad Madi, </w:t>
      </w:r>
      <w:hyperlink r:id="rId33" w:history="1">
        <w:r w:rsidRPr="003728D2">
          <w:rPr>
            <w:rStyle w:val="Hyperlink"/>
            <w:rFonts w:ascii="Calibri" w:hAnsi="Calibri" w:cs="Calibri"/>
            <w:b/>
            <w:bCs/>
            <w:i/>
            <w:iCs/>
            <w:lang w:val="en-GB"/>
          </w:rPr>
          <w:t>Special Rapporteur on the human rights of migrants</w:t>
        </w:r>
      </w:hyperlink>
      <w:r w:rsidRPr="003728D2">
        <w:rPr>
          <w:rFonts w:ascii="Calibri" w:hAnsi="Calibri" w:cs="Calibri"/>
          <w:b/>
          <w:bCs/>
          <w:i/>
          <w:iCs/>
          <w:lang w:val="en-GB"/>
        </w:rPr>
        <w:t xml:space="preserve"> </w:t>
      </w:r>
    </w:p>
    <w:p w14:paraId="5A9AABAA"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Richard Bennett, </w:t>
      </w:r>
      <w:hyperlink r:id="rId34" w:history="1">
        <w:r w:rsidRPr="003728D2">
          <w:rPr>
            <w:rStyle w:val="Hyperlink"/>
            <w:rFonts w:ascii="Calibri" w:hAnsi="Calibri" w:cs="Calibri"/>
            <w:b/>
            <w:bCs/>
            <w:i/>
            <w:iCs/>
            <w:lang w:val="en-GB"/>
          </w:rPr>
          <w:t>Special Rapporteur on the situation of human rights in Afghanistan</w:t>
        </w:r>
      </w:hyperlink>
      <w:r w:rsidRPr="003728D2">
        <w:rPr>
          <w:rFonts w:ascii="Calibri" w:hAnsi="Calibri" w:cs="Calibri"/>
          <w:b/>
          <w:bCs/>
          <w:i/>
          <w:iCs/>
          <w:lang w:val="en-GB"/>
        </w:rPr>
        <w:t xml:space="preserve"> </w:t>
      </w:r>
    </w:p>
    <w:p w14:paraId="7AB88D7E"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Nils Muižnieks, </w:t>
      </w:r>
      <w:hyperlink r:id="rId35" w:history="1">
        <w:r w:rsidRPr="003728D2">
          <w:rPr>
            <w:rStyle w:val="Hyperlink"/>
            <w:rFonts w:ascii="Calibri" w:hAnsi="Calibri" w:cs="Calibri"/>
            <w:b/>
            <w:bCs/>
            <w:i/>
            <w:iCs/>
            <w:lang w:val="en-GB"/>
          </w:rPr>
          <w:t xml:space="preserve">Special Rapporteur on the situation of human rights in Belarus  </w:t>
        </w:r>
      </w:hyperlink>
      <w:r w:rsidRPr="003728D2">
        <w:rPr>
          <w:rFonts w:ascii="Calibri" w:hAnsi="Calibri" w:cs="Calibri"/>
          <w:b/>
          <w:bCs/>
          <w:i/>
          <w:iCs/>
          <w:lang w:val="en-GB"/>
        </w:rPr>
        <w:t xml:space="preserve"> </w:t>
      </w:r>
    </w:p>
    <w:p w14:paraId="15191AD4"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Vitit Muntarbhorn, </w:t>
      </w:r>
      <w:hyperlink r:id="rId36" w:history="1">
        <w:r w:rsidRPr="003728D2">
          <w:rPr>
            <w:rStyle w:val="Hyperlink"/>
            <w:rFonts w:ascii="Calibri" w:hAnsi="Calibri" w:cs="Calibri"/>
            <w:b/>
            <w:bCs/>
            <w:i/>
            <w:iCs/>
            <w:lang w:val="en-GB"/>
          </w:rPr>
          <w:t xml:space="preserve">Special Rapporteur on the situation of human rights in Cambodia </w:t>
        </w:r>
      </w:hyperlink>
      <w:r w:rsidRPr="003728D2">
        <w:rPr>
          <w:rFonts w:ascii="Calibri" w:hAnsi="Calibri" w:cs="Calibri"/>
          <w:b/>
          <w:bCs/>
          <w:i/>
          <w:iCs/>
          <w:lang w:val="en-GB"/>
        </w:rPr>
        <w:t xml:space="preserve"> </w:t>
      </w:r>
    </w:p>
    <w:p w14:paraId="7F26FAD2"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Thomas Andrews, </w:t>
      </w:r>
      <w:hyperlink r:id="rId37" w:history="1">
        <w:r w:rsidRPr="003728D2">
          <w:rPr>
            <w:rStyle w:val="Hyperlink"/>
            <w:rFonts w:ascii="Calibri" w:hAnsi="Calibri" w:cs="Calibri"/>
            <w:b/>
            <w:bCs/>
            <w:i/>
            <w:iCs/>
            <w:lang w:val="en-GB"/>
          </w:rPr>
          <w:t xml:space="preserve">Special Rapporteur on the situation of human rights in Myanmar </w:t>
        </w:r>
      </w:hyperlink>
      <w:r w:rsidRPr="003728D2">
        <w:rPr>
          <w:rFonts w:ascii="Calibri" w:hAnsi="Calibri" w:cs="Calibri"/>
          <w:b/>
          <w:bCs/>
          <w:i/>
          <w:iCs/>
          <w:lang w:val="en-GB"/>
        </w:rPr>
        <w:t xml:space="preserve"> </w:t>
      </w:r>
    </w:p>
    <w:p w14:paraId="15715941"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lastRenderedPageBreak/>
        <w:t xml:space="preserve">Elizabeth Salmón, </w:t>
      </w:r>
      <w:hyperlink r:id="rId38" w:history="1">
        <w:r w:rsidRPr="003728D2">
          <w:rPr>
            <w:rStyle w:val="Hyperlink"/>
            <w:rFonts w:ascii="Calibri" w:hAnsi="Calibri" w:cs="Calibri"/>
            <w:b/>
            <w:bCs/>
            <w:i/>
            <w:iCs/>
            <w:lang w:val="en-GB"/>
          </w:rPr>
          <w:t>Special Rapporteur on the situation of human rights in the Democratic People’s Republic of Korea</w:t>
        </w:r>
      </w:hyperlink>
      <w:r w:rsidRPr="003728D2">
        <w:rPr>
          <w:rFonts w:ascii="Calibri" w:hAnsi="Calibri" w:cs="Calibri"/>
          <w:b/>
          <w:bCs/>
          <w:i/>
          <w:iCs/>
          <w:lang w:val="en-GB"/>
        </w:rPr>
        <w:t xml:space="preserve"> </w:t>
      </w:r>
    </w:p>
    <w:p w14:paraId="3879DBF8"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Mai Sato, </w:t>
      </w:r>
      <w:hyperlink r:id="rId39" w:history="1">
        <w:r w:rsidRPr="003728D2">
          <w:rPr>
            <w:rStyle w:val="Hyperlink"/>
            <w:rFonts w:ascii="Calibri" w:hAnsi="Calibri" w:cs="Calibri"/>
            <w:b/>
            <w:bCs/>
            <w:i/>
            <w:iCs/>
            <w:lang w:val="en-GB"/>
          </w:rPr>
          <w:t xml:space="preserve">Special Rapporteur on the situation of human rights in the Islamic Republic of Iran </w:t>
        </w:r>
      </w:hyperlink>
      <w:r w:rsidRPr="003728D2">
        <w:rPr>
          <w:rFonts w:ascii="Calibri" w:hAnsi="Calibri" w:cs="Calibri"/>
          <w:b/>
          <w:bCs/>
          <w:i/>
          <w:iCs/>
          <w:lang w:val="en-GB"/>
        </w:rPr>
        <w:t xml:space="preserve"> </w:t>
      </w:r>
    </w:p>
    <w:p w14:paraId="35F88C44"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Francesca Albanese, </w:t>
      </w:r>
      <w:hyperlink r:id="rId40" w:history="1">
        <w:r w:rsidRPr="003728D2">
          <w:rPr>
            <w:rStyle w:val="Hyperlink"/>
            <w:rFonts w:ascii="Calibri" w:hAnsi="Calibri" w:cs="Calibri"/>
            <w:b/>
            <w:bCs/>
            <w:i/>
            <w:iCs/>
            <w:lang w:val="en-GB"/>
          </w:rPr>
          <w:t xml:space="preserve">Special Rapporteur on the situation of human rights in the Palestinian territory occupied since 1967 </w:t>
        </w:r>
      </w:hyperlink>
      <w:r w:rsidRPr="003728D2">
        <w:rPr>
          <w:rFonts w:ascii="Calibri" w:hAnsi="Calibri" w:cs="Calibri"/>
          <w:b/>
          <w:bCs/>
          <w:i/>
          <w:iCs/>
          <w:lang w:val="en-GB"/>
        </w:rPr>
        <w:t xml:space="preserve"> </w:t>
      </w:r>
    </w:p>
    <w:p w14:paraId="1B29D802"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Mariana Katzarova, </w:t>
      </w:r>
      <w:hyperlink r:id="rId41" w:history="1">
        <w:r w:rsidRPr="003728D2">
          <w:rPr>
            <w:rStyle w:val="Hyperlink"/>
            <w:rFonts w:ascii="Calibri" w:hAnsi="Calibri" w:cs="Calibri"/>
            <w:b/>
            <w:bCs/>
            <w:i/>
            <w:iCs/>
            <w:lang w:val="en-GB"/>
          </w:rPr>
          <w:t xml:space="preserve">Special Rapporteur on the situation of human rights in the Russian Federation </w:t>
        </w:r>
      </w:hyperlink>
      <w:r w:rsidRPr="003728D2">
        <w:rPr>
          <w:rFonts w:ascii="Calibri" w:hAnsi="Calibri" w:cs="Calibri"/>
          <w:b/>
          <w:bCs/>
          <w:i/>
          <w:iCs/>
          <w:lang w:val="en-GB"/>
        </w:rPr>
        <w:t xml:space="preserve"> </w:t>
      </w:r>
    </w:p>
    <w:p w14:paraId="2F508D42"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Siobhán Mullally, </w:t>
      </w:r>
      <w:hyperlink r:id="rId42" w:history="1">
        <w:r w:rsidRPr="003728D2">
          <w:rPr>
            <w:rStyle w:val="Hyperlink"/>
            <w:rFonts w:ascii="Calibri" w:hAnsi="Calibri" w:cs="Calibri"/>
            <w:b/>
            <w:bCs/>
            <w:i/>
            <w:iCs/>
            <w:lang w:val="en-GB"/>
          </w:rPr>
          <w:t>Special Rapporteur on trafficking in persons, especially women and children</w:t>
        </w:r>
      </w:hyperlink>
      <w:r w:rsidRPr="003728D2">
        <w:rPr>
          <w:rFonts w:ascii="Calibri" w:hAnsi="Calibri" w:cs="Calibri"/>
          <w:b/>
          <w:bCs/>
          <w:i/>
          <w:iCs/>
          <w:lang w:val="en-GB"/>
        </w:rPr>
        <w:t xml:space="preserve">  </w:t>
      </w:r>
    </w:p>
    <w:p w14:paraId="4047F039" w14:textId="77777777" w:rsidR="003728D2" w:rsidRPr="003728D2" w:rsidRDefault="003728D2" w:rsidP="003728D2">
      <w:pPr>
        <w:numPr>
          <w:ilvl w:val="0"/>
          <w:numId w:val="1"/>
        </w:numPr>
        <w:spacing w:after="0"/>
        <w:rPr>
          <w:rFonts w:ascii="Calibri" w:hAnsi="Calibri" w:cs="Calibri"/>
          <w:b/>
          <w:bCs/>
          <w:i/>
          <w:iCs/>
          <w:lang w:val="en-GB"/>
        </w:rPr>
      </w:pPr>
      <w:r w:rsidRPr="003728D2">
        <w:rPr>
          <w:rFonts w:ascii="Calibri" w:hAnsi="Calibri" w:cs="Calibri"/>
          <w:b/>
          <w:bCs/>
          <w:i/>
          <w:iCs/>
          <w:lang w:val="en-GB"/>
        </w:rPr>
        <w:t xml:space="preserve">Gabriella Citroni (Chair), Grażyna Baranowska (Vice-Chair), Aua Balde, Ana Lorena Delgadillo Perez, Mohammed Al-Obaidi, </w:t>
      </w:r>
      <w:hyperlink r:id="rId43" w:history="1">
        <w:r w:rsidRPr="003728D2">
          <w:rPr>
            <w:rStyle w:val="Hyperlink"/>
            <w:rFonts w:ascii="Calibri" w:hAnsi="Calibri" w:cs="Calibri"/>
            <w:b/>
            <w:bCs/>
            <w:i/>
            <w:iCs/>
            <w:lang w:val="en-GB"/>
          </w:rPr>
          <w:t xml:space="preserve">Working Group on Enforced or Involuntary Disappearances </w:t>
        </w:r>
      </w:hyperlink>
      <w:r w:rsidRPr="003728D2">
        <w:rPr>
          <w:rFonts w:ascii="Calibri" w:hAnsi="Calibri" w:cs="Calibri"/>
          <w:b/>
          <w:bCs/>
          <w:i/>
          <w:iCs/>
          <w:lang w:val="en-GB"/>
        </w:rPr>
        <w:t xml:space="preserve"> </w:t>
      </w:r>
    </w:p>
    <w:p w14:paraId="22D78CFB" w14:textId="77777777" w:rsidR="003728D2" w:rsidRPr="003728D2" w:rsidRDefault="003728D2" w:rsidP="003728D2">
      <w:pPr>
        <w:numPr>
          <w:ilvl w:val="0"/>
          <w:numId w:val="1"/>
        </w:numPr>
        <w:spacing w:after="0"/>
        <w:rPr>
          <w:rFonts w:ascii="Calibri" w:hAnsi="Calibri" w:cs="Calibri"/>
          <w:b/>
          <w:bCs/>
          <w:i/>
          <w:iCs/>
          <w:lang w:val="en-GB"/>
        </w:rPr>
      </w:pPr>
      <w:proofErr w:type="spellStart"/>
      <w:r w:rsidRPr="003728D2">
        <w:rPr>
          <w:rFonts w:ascii="Calibri" w:hAnsi="Calibri" w:cs="Calibri"/>
          <w:b/>
          <w:bCs/>
          <w:i/>
          <w:iCs/>
          <w:lang w:val="en-GB"/>
        </w:rPr>
        <w:t>Pichamon</w:t>
      </w:r>
      <w:proofErr w:type="spellEnd"/>
      <w:r w:rsidRPr="003728D2">
        <w:rPr>
          <w:rFonts w:ascii="Calibri" w:hAnsi="Calibri" w:cs="Calibri"/>
          <w:b/>
          <w:bCs/>
          <w:i/>
          <w:iCs/>
          <w:lang w:val="en-GB"/>
        </w:rPr>
        <w:t xml:space="preserve"> </w:t>
      </w:r>
      <w:proofErr w:type="spellStart"/>
      <w:r w:rsidRPr="003728D2">
        <w:rPr>
          <w:rFonts w:ascii="Calibri" w:hAnsi="Calibri" w:cs="Calibri"/>
          <w:b/>
          <w:bCs/>
          <w:i/>
          <w:iCs/>
          <w:lang w:val="en-GB"/>
        </w:rPr>
        <w:t>Yeophantong</w:t>
      </w:r>
      <w:proofErr w:type="spellEnd"/>
      <w:r w:rsidRPr="003728D2">
        <w:rPr>
          <w:rFonts w:ascii="Calibri" w:hAnsi="Calibri" w:cs="Calibri"/>
          <w:b/>
          <w:bCs/>
          <w:i/>
          <w:iCs/>
          <w:lang w:val="en-GB"/>
        </w:rPr>
        <w:t xml:space="preserve"> (Chair), Damilola Olawuyi (Vice-Chair), Fernanda Hopenhaym, Robert McCorquodale, Lyra </w:t>
      </w:r>
      <w:proofErr w:type="spellStart"/>
      <w:r w:rsidRPr="003728D2">
        <w:rPr>
          <w:rFonts w:ascii="Calibri" w:hAnsi="Calibri" w:cs="Calibri"/>
          <w:b/>
          <w:bCs/>
          <w:i/>
          <w:iCs/>
          <w:lang w:val="en-GB"/>
        </w:rPr>
        <w:t>Jakulevičienė</w:t>
      </w:r>
      <w:proofErr w:type="spellEnd"/>
      <w:r w:rsidRPr="003728D2">
        <w:rPr>
          <w:rFonts w:ascii="Calibri" w:hAnsi="Calibri" w:cs="Calibri"/>
          <w:b/>
          <w:bCs/>
          <w:i/>
          <w:iCs/>
          <w:lang w:val="en-GB"/>
        </w:rPr>
        <w:t xml:space="preserve">, </w:t>
      </w:r>
      <w:hyperlink r:id="rId44" w:history="1">
        <w:r w:rsidRPr="003728D2">
          <w:rPr>
            <w:rStyle w:val="Hyperlink"/>
            <w:rFonts w:ascii="Calibri" w:hAnsi="Calibri" w:cs="Calibri"/>
            <w:b/>
            <w:bCs/>
            <w:i/>
            <w:iCs/>
            <w:lang w:val="en-GB"/>
          </w:rPr>
          <w:t xml:space="preserve">Working Group on the issue of human rights and transnational corporations and other business enterprises </w:t>
        </w:r>
      </w:hyperlink>
      <w:r w:rsidRPr="003728D2">
        <w:rPr>
          <w:rFonts w:ascii="Calibri" w:hAnsi="Calibri" w:cs="Calibri"/>
          <w:b/>
          <w:bCs/>
          <w:i/>
          <w:iCs/>
          <w:lang w:val="en-GB"/>
        </w:rPr>
        <w:t xml:space="preserve"> </w:t>
      </w:r>
    </w:p>
    <w:p w14:paraId="46A53C4A" w14:textId="77777777" w:rsidR="0003672E" w:rsidRPr="003728D2" w:rsidRDefault="0003672E" w:rsidP="00B07449">
      <w:pPr>
        <w:spacing w:after="0"/>
        <w:rPr>
          <w:rFonts w:ascii="Calibri" w:hAnsi="Calibri" w:cs="Calibri"/>
          <w:lang w:val="en-GB"/>
        </w:rPr>
      </w:pPr>
    </w:p>
    <w:sectPr w:rsidR="0003672E" w:rsidRPr="003728D2" w:rsidSect="00CD6E73">
      <w:footerReference w:type="default" r:id="rId45"/>
      <w:headerReference w:type="first" r:id="rId46"/>
      <w:pgSz w:w="12240" w:h="15840"/>
      <w:pgMar w:top="1440" w:right="1440" w:bottom="1440" w:left="1440" w:header="0" w:footer="0"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A3D44" w14:textId="77777777" w:rsidR="00991FF4" w:rsidRDefault="00991FF4" w:rsidP="00DB0B73">
      <w:pPr>
        <w:spacing w:after="0" w:line="240" w:lineRule="auto"/>
      </w:pPr>
      <w:r>
        <w:separator/>
      </w:r>
    </w:p>
  </w:endnote>
  <w:endnote w:type="continuationSeparator" w:id="0">
    <w:p w14:paraId="7FE99F16" w14:textId="77777777" w:rsidR="00991FF4" w:rsidRDefault="00991FF4" w:rsidP="00DB0B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5582898"/>
      <w:docPartObj>
        <w:docPartGallery w:val="Page Numbers (Bottom of Page)"/>
        <w:docPartUnique/>
      </w:docPartObj>
    </w:sdtPr>
    <w:sdtEndPr>
      <w:rPr>
        <w:noProof/>
      </w:rPr>
    </w:sdtEndPr>
    <w:sdtContent>
      <w:p w14:paraId="434816DE" w14:textId="47D5A879" w:rsidR="00CD6E73" w:rsidRDefault="00CD6E7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7AB945E" w14:textId="77777777" w:rsidR="00CD6E73" w:rsidRDefault="00CD6E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91898" w14:textId="77777777" w:rsidR="00991FF4" w:rsidRDefault="00991FF4" w:rsidP="00DB0B73">
      <w:pPr>
        <w:spacing w:after="0" w:line="240" w:lineRule="auto"/>
      </w:pPr>
      <w:r>
        <w:separator/>
      </w:r>
    </w:p>
  </w:footnote>
  <w:footnote w:type="continuationSeparator" w:id="0">
    <w:p w14:paraId="1B7FE994" w14:textId="77777777" w:rsidR="00991FF4" w:rsidRDefault="00991FF4" w:rsidP="00DB0B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7311946"/>
      <w:docPartObj>
        <w:docPartGallery w:val="Page Numbers (Top of Page)"/>
        <w:docPartUnique/>
      </w:docPartObj>
    </w:sdtPr>
    <w:sdtEndPr>
      <w:rPr>
        <w:noProof/>
      </w:rPr>
    </w:sdtEndPr>
    <w:sdtContent>
      <w:p w14:paraId="7B744BC8" w14:textId="77777777" w:rsidR="00CD6E73" w:rsidRPr="00C63830" w:rsidRDefault="00CD6E73" w:rsidP="00CD6E73">
        <w:pPr>
          <w:pStyle w:val="Header"/>
          <w:jc w:val="center"/>
          <w:rPr>
            <w:lang w:val="en-GB"/>
          </w:rPr>
        </w:pPr>
        <w:r w:rsidRPr="00C63830">
          <w:rPr>
            <w:noProof/>
            <w:lang w:val="en-GB"/>
          </w:rPr>
          <w:drawing>
            <wp:inline distT="0" distB="0" distL="0" distR="0" wp14:anchorId="77439AE2" wp14:editId="5EA118E7">
              <wp:extent cx="1835150" cy="673100"/>
              <wp:effectExtent l="0" t="0" r="0" b="0"/>
              <wp:docPr id="164563257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632578"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5150" cy="673100"/>
                      </a:xfrm>
                      <a:prstGeom prst="rect">
                        <a:avLst/>
                      </a:prstGeom>
                      <a:noFill/>
                      <a:ln>
                        <a:noFill/>
                      </a:ln>
                    </pic:spPr>
                  </pic:pic>
                </a:graphicData>
              </a:graphic>
            </wp:inline>
          </w:drawing>
        </w:r>
        <w:r w:rsidRPr="00C63830">
          <w:rPr>
            <w:noProof/>
            <w:lang w:val="en-GB"/>
          </w:rPr>
          <w:drawing>
            <wp:inline distT="0" distB="0" distL="0" distR="0" wp14:anchorId="5F413B77" wp14:editId="6493330C">
              <wp:extent cx="2800350" cy="539750"/>
              <wp:effectExtent l="0" t="0" r="0" b="0"/>
              <wp:docPr id="1966274215" name="Picture 3" descr="A close up of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ose up of black text&#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00350" cy="539750"/>
                      </a:xfrm>
                      <a:prstGeom prst="rect">
                        <a:avLst/>
                      </a:prstGeom>
                      <a:noFill/>
                      <a:ln>
                        <a:noFill/>
                      </a:ln>
                    </pic:spPr>
                  </pic:pic>
                </a:graphicData>
              </a:graphic>
            </wp:inline>
          </w:drawing>
        </w:r>
      </w:p>
      <w:p w14:paraId="378C3636" w14:textId="77777777" w:rsidR="00CD6E73" w:rsidRDefault="00CD6E73" w:rsidP="00CD6E73">
        <w:pPr>
          <w:pStyle w:val="Header"/>
          <w:jc w:val="center"/>
        </w:pPr>
      </w:p>
      <w:p w14:paraId="5804EBBC" w14:textId="3757086E" w:rsidR="00CD6E73" w:rsidRDefault="00B41DA7">
        <w:pPr>
          <w:pStyle w:val="Header"/>
          <w:jc w:val="right"/>
        </w:pPr>
      </w:p>
    </w:sdtContent>
  </w:sdt>
  <w:p w14:paraId="2111E3CB" w14:textId="77777777" w:rsidR="00C63830" w:rsidRDefault="00C638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0A0FDA"/>
    <w:multiLevelType w:val="hybridMultilevel"/>
    <w:tmpl w:val="8BC227D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16cid:durableId="1101737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72E"/>
    <w:rsid w:val="0003672E"/>
    <w:rsid w:val="00053ED6"/>
    <w:rsid w:val="000F211C"/>
    <w:rsid w:val="000F785E"/>
    <w:rsid w:val="00130260"/>
    <w:rsid w:val="001722BA"/>
    <w:rsid w:val="00195ED7"/>
    <w:rsid w:val="001D63C4"/>
    <w:rsid w:val="0027541B"/>
    <w:rsid w:val="002A5C69"/>
    <w:rsid w:val="002A7DBC"/>
    <w:rsid w:val="002B6D66"/>
    <w:rsid w:val="002D1329"/>
    <w:rsid w:val="00305660"/>
    <w:rsid w:val="00322C5F"/>
    <w:rsid w:val="0034586F"/>
    <w:rsid w:val="003728D2"/>
    <w:rsid w:val="003802F3"/>
    <w:rsid w:val="003816DB"/>
    <w:rsid w:val="003A647B"/>
    <w:rsid w:val="004716DB"/>
    <w:rsid w:val="00474C3C"/>
    <w:rsid w:val="00490173"/>
    <w:rsid w:val="004A6BF5"/>
    <w:rsid w:val="004C0B13"/>
    <w:rsid w:val="004C4DBB"/>
    <w:rsid w:val="004D027B"/>
    <w:rsid w:val="004D20DE"/>
    <w:rsid w:val="004F2068"/>
    <w:rsid w:val="00501833"/>
    <w:rsid w:val="0050500D"/>
    <w:rsid w:val="005809C6"/>
    <w:rsid w:val="00582193"/>
    <w:rsid w:val="00584568"/>
    <w:rsid w:val="00584A07"/>
    <w:rsid w:val="005F7CC6"/>
    <w:rsid w:val="006774EE"/>
    <w:rsid w:val="007371E9"/>
    <w:rsid w:val="00741AAF"/>
    <w:rsid w:val="00776BC8"/>
    <w:rsid w:val="007819C9"/>
    <w:rsid w:val="00794E58"/>
    <w:rsid w:val="007C37EA"/>
    <w:rsid w:val="007C76E2"/>
    <w:rsid w:val="0080186F"/>
    <w:rsid w:val="0082434E"/>
    <w:rsid w:val="008266B7"/>
    <w:rsid w:val="00830269"/>
    <w:rsid w:val="00846841"/>
    <w:rsid w:val="00872628"/>
    <w:rsid w:val="00884912"/>
    <w:rsid w:val="008A162E"/>
    <w:rsid w:val="008A2FBE"/>
    <w:rsid w:val="00906C99"/>
    <w:rsid w:val="00951ED3"/>
    <w:rsid w:val="0096415E"/>
    <w:rsid w:val="00991FF4"/>
    <w:rsid w:val="009B6FE9"/>
    <w:rsid w:val="009E2222"/>
    <w:rsid w:val="00A00EC7"/>
    <w:rsid w:val="00A2777F"/>
    <w:rsid w:val="00A427CE"/>
    <w:rsid w:val="00A54096"/>
    <w:rsid w:val="00AA1A64"/>
    <w:rsid w:val="00AE4B2C"/>
    <w:rsid w:val="00AF2EC9"/>
    <w:rsid w:val="00B06036"/>
    <w:rsid w:val="00B07449"/>
    <w:rsid w:val="00B41DA7"/>
    <w:rsid w:val="00BB267D"/>
    <w:rsid w:val="00BF36A1"/>
    <w:rsid w:val="00C238E6"/>
    <w:rsid w:val="00C60048"/>
    <w:rsid w:val="00C63830"/>
    <w:rsid w:val="00C752B1"/>
    <w:rsid w:val="00CC354C"/>
    <w:rsid w:val="00CD6E73"/>
    <w:rsid w:val="00D25AF0"/>
    <w:rsid w:val="00D7346D"/>
    <w:rsid w:val="00D76698"/>
    <w:rsid w:val="00D876B7"/>
    <w:rsid w:val="00DA7609"/>
    <w:rsid w:val="00DB0B73"/>
    <w:rsid w:val="00DC677E"/>
    <w:rsid w:val="00E120BC"/>
    <w:rsid w:val="00E62F85"/>
    <w:rsid w:val="00E92324"/>
    <w:rsid w:val="00F45CAF"/>
    <w:rsid w:val="00F57309"/>
    <w:rsid w:val="00F705D8"/>
    <w:rsid w:val="00FA34EA"/>
    <w:rsid w:val="00FB0F97"/>
    <w:rsid w:val="00FC02C1"/>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A53C3C"/>
  <w15:docId w15:val="{F8B8D814-8D35-4576-97A9-40FA6B1F9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63B0"/>
    <w:pPr>
      <w:spacing w:after="160" w:line="276" w:lineRule="auto"/>
    </w:pPr>
  </w:style>
  <w:style w:type="paragraph" w:styleId="Heading1">
    <w:name w:val="heading 1"/>
    <w:basedOn w:val="Normal"/>
    <w:next w:val="Normal"/>
    <w:link w:val="Heading1Char"/>
    <w:uiPriority w:val="9"/>
    <w:qFormat/>
    <w:rsid w:val="00B463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63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63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63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63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63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63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63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63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B463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qFormat/>
    <w:rsid w:val="00B463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qFormat/>
    <w:rsid w:val="00B463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qFormat/>
    <w:rsid w:val="00B463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qFormat/>
    <w:rsid w:val="00B463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qFormat/>
    <w:rsid w:val="00B463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sid w:val="00B463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sid w:val="00B463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qFormat/>
    <w:rsid w:val="00B463B0"/>
    <w:rPr>
      <w:rFonts w:eastAsiaTheme="majorEastAsia" w:cstheme="majorBidi"/>
      <w:color w:val="272727" w:themeColor="text1" w:themeTint="D8"/>
    </w:rPr>
  </w:style>
  <w:style w:type="character" w:customStyle="1" w:styleId="TitleChar">
    <w:name w:val="Title Char"/>
    <w:basedOn w:val="DefaultParagraphFont"/>
    <w:link w:val="Title"/>
    <w:uiPriority w:val="10"/>
    <w:qFormat/>
    <w:rsid w:val="00B463B0"/>
    <w:rPr>
      <w:rFonts w:asciiTheme="majorHAnsi" w:eastAsiaTheme="majorEastAsia" w:hAnsiTheme="majorHAnsi" w:cstheme="majorBidi"/>
      <w:spacing w:val="-10"/>
      <w:kern w:val="2"/>
      <w:sz w:val="56"/>
      <w:szCs w:val="56"/>
    </w:rPr>
  </w:style>
  <w:style w:type="character" w:customStyle="1" w:styleId="SubtitleChar">
    <w:name w:val="Subtitle Char"/>
    <w:basedOn w:val="DefaultParagraphFont"/>
    <w:link w:val="Subtitle"/>
    <w:uiPriority w:val="11"/>
    <w:qFormat/>
    <w:rsid w:val="00B463B0"/>
    <w:rPr>
      <w:rFonts w:eastAsiaTheme="majorEastAsia" w:cstheme="majorBidi"/>
      <w:color w:val="595959" w:themeColor="text1" w:themeTint="A6"/>
      <w:spacing w:val="15"/>
      <w:sz w:val="28"/>
      <w:szCs w:val="28"/>
    </w:rPr>
  </w:style>
  <w:style w:type="character" w:customStyle="1" w:styleId="QuoteChar">
    <w:name w:val="Quote Char"/>
    <w:basedOn w:val="DefaultParagraphFont"/>
    <w:link w:val="Quote"/>
    <w:uiPriority w:val="29"/>
    <w:qFormat/>
    <w:rsid w:val="00B463B0"/>
    <w:rPr>
      <w:i/>
      <w:iCs/>
      <w:color w:val="404040" w:themeColor="text1" w:themeTint="BF"/>
    </w:rPr>
  </w:style>
  <w:style w:type="character" w:styleId="IntenseEmphasis">
    <w:name w:val="Intense Emphasis"/>
    <w:basedOn w:val="DefaultParagraphFont"/>
    <w:uiPriority w:val="21"/>
    <w:qFormat/>
    <w:rsid w:val="00B463B0"/>
    <w:rPr>
      <w:i/>
      <w:iCs/>
      <w:color w:val="0F4761" w:themeColor="accent1" w:themeShade="BF"/>
    </w:rPr>
  </w:style>
  <w:style w:type="character" w:customStyle="1" w:styleId="IntenseQuoteChar">
    <w:name w:val="Intense Quote Char"/>
    <w:basedOn w:val="DefaultParagraphFont"/>
    <w:link w:val="IntenseQuote"/>
    <w:uiPriority w:val="30"/>
    <w:qFormat/>
    <w:rsid w:val="00B463B0"/>
    <w:rPr>
      <w:i/>
      <w:iCs/>
      <w:color w:val="0F4761" w:themeColor="accent1" w:themeShade="BF"/>
    </w:rPr>
  </w:style>
  <w:style w:type="character" w:styleId="IntenseReference">
    <w:name w:val="Intense Reference"/>
    <w:basedOn w:val="DefaultParagraphFont"/>
    <w:uiPriority w:val="32"/>
    <w:qFormat/>
    <w:rsid w:val="00B463B0"/>
    <w:rPr>
      <w:b/>
      <w:bCs/>
      <w:smallCaps/>
      <w:color w:val="0F4761" w:themeColor="accent1" w:themeShade="BF"/>
      <w:spacing w:val="5"/>
    </w:rPr>
  </w:style>
  <w:style w:type="character" w:styleId="CommentReference">
    <w:name w:val="annotation reference"/>
    <w:basedOn w:val="DefaultParagraphFont"/>
    <w:uiPriority w:val="99"/>
    <w:semiHidden/>
    <w:unhideWhenUsed/>
    <w:qFormat/>
    <w:rsid w:val="00B463B0"/>
    <w:rPr>
      <w:sz w:val="16"/>
      <w:szCs w:val="16"/>
    </w:rPr>
  </w:style>
  <w:style w:type="character" w:customStyle="1" w:styleId="CommentTextChar">
    <w:name w:val="Comment Text Char"/>
    <w:basedOn w:val="DefaultParagraphFont"/>
    <w:link w:val="CommentText"/>
    <w:uiPriority w:val="99"/>
    <w:qFormat/>
    <w:rsid w:val="00B463B0"/>
    <w:rPr>
      <w:sz w:val="20"/>
      <w:szCs w:val="20"/>
    </w:rPr>
  </w:style>
  <w:style w:type="character" w:customStyle="1" w:styleId="Numeracinderenglones">
    <w:name w:val="Numeración de renglones"/>
  </w:style>
  <w:style w:type="paragraph" w:customStyle="1" w:styleId="Ttulo">
    <w:name w:val="Título"/>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rPr>
  </w:style>
  <w:style w:type="paragraph" w:customStyle="1" w:styleId="ndice">
    <w:name w:val="Índice"/>
    <w:basedOn w:val="Normal"/>
    <w:qFormat/>
    <w:pPr>
      <w:suppressLineNumbers/>
    </w:pPr>
    <w:rPr>
      <w:rFonts w:cs="Lohit Devanagari"/>
    </w:rPr>
  </w:style>
  <w:style w:type="paragraph" w:styleId="Title">
    <w:name w:val="Title"/>
    <w:basedOn w:val="Normal"/>
    <w:next w:val="Normal"/>
    <w:link w:val="TitleChar"/>
    <w:uiPriority w:val="10"/>
    <w:qFormat/>
    <w:rsid w:val="00B463B0"/>
    <w:pPr>
      <w:spacing w:after="80" w:line="240" w:lineRule="auto"/>
      <w:contextualSpacing/>
    </w:pPr>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B463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63B0"/>
    <w:pPr>
      <w:spacing w:before="160"/>
      <w:jc w:val="center"/>
    </w:pPr>
    <w:rPr>
      <w:i/>
      <w:iCs/>
      <w:color w:val="404040" w:themeColor="text1" w:themeTint="BF"/>
    </w:rPr>
  </w:style>
  <w:style w:type="paragraph" w:styleId="ListParagraph">
    <w:name w:val="List Paragraph"/>
    <w:basedOn w:val="Normal"/>
    <w:uiPriority w:val="34"/>
    <w:qFormat/>
    <w:rsid w:val="00B463B0"/>
    <w:pPr>
      <w:ind w:left="720"/>
      <w:contextualSpacing/>
    </w:pPr>
  </w:style>
  <w:style w:type="paragraph" w:styleId="IntenseQuote">
    <w:name w:val="Intense Quote"/>
    <w:basedOn w:val="Normal"/>
    <w:next w:val="Normal"/>
    <w:link w:val="IntenseQuoteChar"/>
    <w:uiPriority w:val="30"/>
    <w:qFormat/>
    <w:rsid w:val="00B463B0"/>
    <w:pPr>
      <w:pBdr>
        <w:top w:val="single" w:sz="4" w:space="10" w:color="0F4761"/>
        <w:bottom w:val="single" w:sz="4" w:space="10" w:color="0F4761"/>
      </w:pBdr>
      <w:spacing w:before="360" w:after="360"/>
      <w:ind w:left="864" w:right="864"/>
      <w:jc w:val="center"/>
    </w:pPr>
    <w:rPr>
      <w:i/>
      <w:iCs/>
      <w:color w:val="0F4761" w:themeColor="accent1" w:themeShade="BF"/>
    </w:rPr>
  </w:style>
  <w:style w:type="paragraph" w:styleId="CommentText">
    <w:name w:val="annotation text"/>
    <w:basedOn w:val="Normal"/>
    <w:link w:val="CommentTextChar"/>
    <w:uiPriority w:val="99"/>
    <w:unhideWhenUsed/>
    <w:qFormat/>
    <w:rsid w:val="00B463B0"/>
    <w:pPr>
      <w:spacing w:line="240" w:lineRule="auto"/>
    </w:pPr>
    <w:rPr>
      <w:sz w:val="20"/>
      <w:szCs w:val="20"/>
    </w:rPr>
  </w:style>
  <w:style w:type="paragraph" w:styleId="Revision">
    <w:name w:val="Revision"/>
    <w:hidden/>
    <w:uiPriority w:val="99"/>
    <w:semiHidden/>
    <w:rsid w:val="00FC02C1"/>
    <w:pPr>
      <w:suppressAutoHyphens w:val="0"/>
    </w:pPr>
  </w:style>
  <w:style w:type="paragraph" w:styleId="CommentSubject">
    <w:name w:val="annotation subject"/>
    <w:basedOn w:val="CommentText"/>
    <w:next w:val="CommentText"/>
    <w:link w:val="CommentSubjectChar"/>
    <w:uiPriority w:val="99"/>
    <w:semiHidden/>
    <w:unhideWhenUsed/>
    <w:rsid w:val="000F785E"/>
    <w:rPr>
      <w:b/>
      <w:bCs/>
    </w:rPr>
  </w:style>
  <w:style w:type="character" w:customStyle="1" w:styleId="CommentSubjectChar">
    <w:name w:val="Comment Subject Char"/>
    <w:basedOn w:val="CommentTextChar"/>
    <w:link w:val="CommentSubject"/>
    <w:uiPriority w:val="99"/>
    <w:semiHidden/>
    <w:rsid w:val="000F785E"/>
    <w:rPr>
      <w:b/>
      <w:bCs/>
      <w:sz w:val="20"/>
      <w:szCs w:val="20"/>
    </w:rPr>
  </w:style>
  <w:style w:type="paragraph" w:styleId="Header">
    <w:name w:val="header"/>
    <w:basedOn w:val="Normal"/>
    <w:link w:val="HeaderChar"/>
    <w:uiPriority w:val="99"/>
    <w:unhideWhenUsed/>
    <w:rsid w:val="00DB0B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B73"/>
  </w:style>
  <w:style w:type="paragraph" w:styleId="Footer">
    <w:name w:val="footer"/>
    <w:basedOn w:val="Normal"/>
    <w:link w:val="FooterChar"/>
    <w:uiPriority w:val="99"/>
    <w:unhideWhenUsed/>
    <w:rsid w:val="00DB0B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B73"/>
  </w:style>
  <w:style w:type="character" w:styleId="Hyperlink">
    <w:name w:val="Hyperlink"/>
    <w:basedOn w:val="DefaultParagraphFont"/>
    <w:uiPriority w:val="99"/>
    <w:unhideWhenUsed/>
    <w:rsid w:val="003728D2"/>
    <w:rPr>
      <w:color w:val="467886" w:themeColor="hyperlink"/>
      <w:u w:val="single"/>
    </w:rPr>
  </w:style>
  <w:style w:type="character" w:styleId="UnresolvedMention">
    <w:name w:val="Unresolved Mention"/>
    <w:basedOn w:val="DefaultParagraphFont"/>
    <w:uiPriority w:val="99"/>
    <w:semiHidden/>
    <w:unhideWhenUsed/>
    <w:rsid w:val="003728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www.ohchr.org/en/special-procedures/sr-internally-displaced-persons" TargetMode="External"/><Relationship Id="rId18" Type="http://schemas.openxmlformats.org/officeDocument/2006/relationships/hyperlink" Target="http://www.ohchr.org/en/special-procedures/sr-poverty" TargetMode="External"/><Relationship Id="rId26" Type="http://schemas.openxmlformats.org/officeDocument/2006/relationships/hyperlink" Target="http://www.ohchr.org/en/special-procedures/sr-truth-justice-reparation-and-non-recurrence" TargetMode="External"/><Relationship Id="rId39" Type="http://schemas.openxmlformats.org/officeDocument/2006/relationships/hyperlink" Target="http://www.ohchr.org/en/special-procedures/sr-iran" TargetMode="External"/><Relationship Id="rId21" Type="http://schemas.openxmlformats.org/officeDocument/2006/relationships/hyperlink" Target="http://www.ohchr.org/en/special-procedures/sr-migrants" TargetMode="External"/><Relationship Id="rId34" Type="http://schemas.openxmlformats.org/officeDocument/2006/relationships/hyperlink" Target="http://www.ohchr.org/en/special-procedures/sr-afghanistan" TargetMode="External"/><Relationship Id="rId42" Type="http://schemas.openxmlformats.org/officeDocument/2006/relationships/hyperlink" Target="http://www.ohchr.org/en/special-procedures/sr-trafficking-in-persons"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ohchr.org/en/special-procedures/sr-racism" TargetMode="External"/><Relationship Id="rId29" Type="http://schemas.openxmlformats.org/officeDocument/2006/relationships/hyperlink" Target="http://www.ohchr.org/en/special-procedures/sr-educatio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hchr.org/en/special-procedures/ie-international-solidarity" TargetMode="External"/><Relationship Id="rId24" Type="http://schemas.openxmlformats.org/officeDocument/2006/relationships/hyperlink" Target="http://www.ohchr.org/en/special-procedures/sr-terrorism" TargetMode="External"/><Relationship Id="rId32" Type="http://schemas.openxmlformats.org/officeDocument/2006/relationships/hyperlink" Target="http://www.ohchr.org/en/special-procedures/sr-food" TargetMode="External"/><Relationship Id="rId37" Type="http://schemas.openxmlformats.org/officeDocument/2006/relationships/hyperlink" Target="http://www.ohchr.org/en/special-procedures/sr-myanmar" TargetMode="External"/><Relationship Id="rId40" Type="http://schemas.openxmlformats.org/officeDocument/2006/relationships/hyperlink" Target="http://www.ohchr.org/en/special-procedures/sr-palestine" TargetMode="External"/><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ohchr.org/en/special-procedures/ie-international-order" TargetMode="External"/><Relationship Id="rId23" Type="http://schemas.openxmlformats.org/officeDocument/2006/relationships/hyperlink" Target="http://www.ohchr.org/en/special-procedures/sr-independence-of-judges-and-lawyers" TargetMode="External"/><Relationship Id="rId28" Type="http://schemas.openxmlformats.org/officeDocument/2006/relationships/hyperlink" Target="http://www.ohchr.org/en/special-procedures/sr-development" TargetMode="External"/><Relationship Id="rId36" Type="http://schemas.openxmlformats.org/officeDocument/2006/relationships/hyperlink" Target="http://www.ohchr.org/en/special-procedures/sr-cambodia" TargetMode="External"/><Relationship Id="rId10" Type="http://schemas.openxmlformats.org/officeDocument/2006/relationships/hyperlink" Target="https://www.ohchr.org/en/special-procedures/wg-women-and-girls" TargetMode="External"/><Relationship Id="rId19" Type="http://schemas.openxmlformats.org/officeDocument/2006/relationships/hyperlink" Target="http://www.ohchr.org/en/special-procedures/sr-minority-issues" TargetMode="External"/><Relationship Id="rId31" Type="http://schemas.openxmlformats.org/officeDocument/2006/relationships/hyperlink" Target="http://www.ohchr.org/en/special-procedures/sr-human-rights-defenders" TargetMode="External"/><Relationship Id="rId44" Type="http://schemas.openxmlformats.org/officeDocument/2006/relationships/hyperlink" Target="http://www.ohchr.org/en/special-procedures/wg-business" TargetMode="External"/><Relationship Id="rId4" Type="http://schemas.openxmlformats.org/officeDocument/2006/relationships/settings" Target="settings.xml"/><Relationship Id="rId9" Type="http://schemas.openxmlformats.org/officeDocument/2006/relationships/hyperlink" Target="https://www.ohchr.org/en/special-procedures/sr-cultural-rights" TargetMode="External"/><Relationship Id="rId14" Type="http://schemas.openxmlformats.org/officeDocument/2006/relationships/hyperlink" Target="http://www.ohchr.org/en/special-procedures/ie-older-persons" TargetMode="External"/><Relationship Id="rId22" Type="http://schemas.openxmlformats.org/officeDocument/2006/relationships/hyperlink" Target="http://www.ohchr.org/en/special-procedures/sr-toxics-and-human-rights" TargetMode="External"/><Relationship Id="rId27" Type="http://schemas.openxmlformats.org/officeDocument/2006/relationships/hyperlink" Target="http://www.ohchr.org/en/special-procedures/sr-health" TargetMode="External"/><Relationship Id="rId30" Type="http://schemas.openxmlformats.org/officeDocument/2006/relationships/hyperlink" Target="http://www.ohchr.org/en/special-procedures/sr-freedom-of-assembly-and-association" TargetMode="External"/><Relationship Id="rId35" Type="http://schemas.openxmlformats.org/officeDocument/2006/relationships/hyperlink" Target="http://www.ohchr.org/en/special-procedures/sr-belarus" TargetMode="External"/><Relationship Id="rId43" Type="http://schemas.openxmlformats.org/officeDocument/2006/relationships/hyperlink" Target="http://www.ohchr.org/en/special-procedures/wg-disappearances" TargetMode="External"/><Relationship Id="rId48" Type="http://schemas.openxmlformats.org/officeDocument/2006/relationships/theme" Target="theme/theme1.xml"/><Relationship Id="rId8" Type="http://schemas.openxmlformats.org/officeDocument/2006/relationships/hyperlink" Target="http://www.ohchr.org/en/special-procedures/ie-sexual-orientation-and-gender-identity" TargetMode="External"/><Relationship Id="rId3" Type="http://schemas.openxmlformats.org/officeDocument/2006/relationships/styles" Target="styles.xml"/><Relationship Id="rId12" Type="http://schemas.openxmlformats.org/officeDocument/2006/relationships/hyperlink" Target="https://www.ohchr.org/en/special-procedures/sr-freedom-of-opinion-and-expression" TargetMode="External"/><Relationship Id="rId17" Type="http://schemas.openxmlformats.org/officeDocument/2006/relationships/hyperlink" Target="http://www.ohchr.org/en/special-procedures/sr-slavery" TargetMode="External"/><Relationship Id="rId25" Type="http://schemas.openxmlformats.org/officeDocument/2006/relationships/hyperlink" Target="http://www.ohchr.org/en/specialprocedures/sr-climate-change" TargetMode="External"/><Relationship Id="rId33" Type="http://schemas.openxmlformats.org/officeDocument/2006/relationships/hyperlink" Target="https://www.ohchr.org/en/special-procedures/sr-migrants" TargetMode="External"/><Relationship Id="rId38" Type="http://schemas.openxmlformats.org/officeDocument/2006/relationships/hyperlink" Target="http://www.ohchr.org/en/special-procedures/sr-dprk" TargetMode="External"/><Relationship Id="rId46" Type="http://schemas.openxmlformats.org/officeDocument/2006/relationships/header" Target="header1.xml"/><Relationship Id="rId20" Type="http://schemas.openxmlformats.org/officeDocument/2006/relationships/hyperlink" Target="http://www.ohchr.org/en/special-procedures/sr-environment" TargetMode="External"/><Relationship Id="rId41" Type="http://schemas.openxmlformats.org/officeDocument/2006/relationships/hyperlink" Target="http://www.ohchr.org/en/specialprocedures/sr-russian-federat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35A912-1E04-4A39-83F2-37F2F335F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5</Pages>
  <Words>2125</Words>
  <Characters>12116</Characters>
  <Application>Microsoft Office Word</Application>
  <DocSecurity>0</DocSecurity>
  <Lines>100</Lines>
  <Paragraphs>28</Paragraphs>
  <ScaleCrop>false</ScaleCrop>
  <Company>Yale Law School</Company>
  <LinksUpToDate>false</LinksUpToDate>
  <CharactersWithSpaces>14213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Flores</dc:creator>
  <dc:description/>
  <cp:lastModifiedBy>Brian GRIFFEY</cp:lastModifiedBy>
  <cp:revision>82</cp:revision>
  <dcterms:created xsi:type="dcterms:W3CDTF">2025-07-22T17:44:00Z</dcterms:created>
  <dcterms:modified xsi:type="dcterms:W3CDTF">2025-08-27T15:26:00Z</dcterms:modified>
  <dc:language>fr-FR</dc:language>
</cp:coreProperties>
</file>